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8" w14:textId="18BBE37D" w:rsidR="0022612C" w:rsidRPr="00597898" w:rsidRDefault="00597898" w:rsidP="0022612C">
      <w:pPr>
        <w:pStyle w:val="Titolo"/>
        <w:spacing w:before="0"/>
        <w:ind w:left="0" w:firstLine="0"/>
        <w:contextualSpacing/>
        <w:mirrorIndents/>
        <w:jc w:val="center"/>
        <w:rPr>
          <w:rFonts w:ascii="PT Sans Narrow" w:hAnsi="PT Sans Narrow"/>
          <w:color w:val="00B0F0"/>
          <w:w w:val="80"/>
          <w:sz w:val="36"/>
          <w:szCs w:val="36"/>
        </w:rPr>
      </w:pPr>
      <w:r w:rsidRPr="00597898">
        <w:rPr>
          <w:rFonts w:ascii="PT Sans Narrow" w:hAnsi="PT Sans Narrow"/>
          <w:color w:val="00B0F0"/>
          <w:w w:val="80"/>
          <w:sz w:val="36"/>
          <w:szCs w:val="36"/>
        </w:rPr>
        <w:t>Sky Gas &amp; Power</w:t>
      </w:r>
      <w:r w:rsidR="0022612C" w:rsidRPr="00597898">
        <w:rPr>
          <w:rFonts w:ascii="PT Sans Narrow" w:hAnsi="PT Sans Narrow"/>
          <w:color w:val="00B0F0"/>
          <w:w w:val="80"/>
          <w:sz w:val="36"/>
          <w:szCs w:val="36"/>
        </w:rPr>
        <w:t xml:space="preserve"> PLACET </w:t>
      </w:r>
      <w:proofErr w:type="spellStart"/>
      <w:r w:rsidR="0022612C" w:rsidRPr="00597898">
        <w:rPr>
          <w:rFonts w:ascii="PT Sans Narrow" w:hAnsi="PT Sans Narrow"/>
          <w:color w:val="00B0F0"/>
          <w:w w:val="80"/>
          <w:sz w:val="36"/>
          <w:szCs w:val="36"/>
        </w:rPr>
        <w:t>Variabile</w:t>
      </w:r>
      <w:proofErr w:type="spellEnd"/>
      <w:r w:rsidR="0022612C" w:rsidRPr="00597898">
        <w:rPr>
          <w:rFonts w:ascii="PT Sans Narrow" w:hAnsi="PT Sans Narrow"/>
          <w:color w:val="00B0F0"/>
          <w:w w:val="80"/>
          <w:sz w:val="36"/>
          <w:szCs w:val="36"/>
        </w:rPr>
        <w:t xml:space="preserve"> </w:t>
      </w:r>
      <w:proofErr w:type="spellStart"/>
      <w:r w:rsidR="00671270">
        <w:rPr>
          <w:rFonts w:ascii="PT Sans Narrow" w:hAnsi="PT Sans Narrow"/>
          <w:color w:val="00B0F0"/>
          <w:w w:val="80"/>
          <w:sz w:val="36"/>
          <w:szCs w:val="36"/>
        </w:rPr>
        <w:t>Altri</w:t>
      </w:r>
      <w:proofErr w:type="spellEnd"/>
      <w:r w:rsidR="00671270">
        <w:rPr>
          <w:rFonts w:ascii="PT Sans Narrow" w:hAnsi="PT Sans Narrow"/>
          <w:color w:val="00B0F0"/>
          <w:w w:val="80"/>
          <w:sz w:val="36"/>
          <w:szCs w:val="36"/>
        </w:rPr>
        <w:t xml:space="preserve"> </w:t>
      </w:r>
      <w:proofErr w:type="spellStart"/>
      <w:r w:rsidR="00671270">
        <w:rPr>
          <w:rFonts w:ascii="PT Sans Narrow" w:hAnsi="PT Sans Narrow"/>
          <w:color w:val="00B0F0"/>
          <w:w w:val="80"/>
          <w:sz w:val="36"/>
          <w:szCs w:val="36"/>
        </w:rPr>
        <w:t>Usi</w:t>
      </w:r>
      <w:proofErr w:type="spellEnd"/>
    </w:p>
    <w:p w14:paraId="30887C2F" w14:textId="77777777" w:rsidR="0022612C" w:rsidRPr="00054139" w:rsidRDefault="0022612C" w:rsidP="0022612C">
      <w:pPr>
        <w:pStyle w:val="Titolo"/>
        <w:spacing w:before="0"/>
        <w:ind w:left="0" w:firstLine="0"/>
        <w:contextualSpacing/>
        <w:mirrorIndents/>
        <w:jc w:val="center"/>
        <w:rPr>
          <w:rFonts w:ascii="PT Sans Narrow" w:hAnsi="PT Sans Narrow"/>
          <w:color w:val="00B0F0"/>
          <w:w w:val="80"/>
          <w:sz w:val="36"/>
          <w:szCs w:val="36"/>
          <w:lang w:val="it-IT"/>
        </w:rPr>
      </w:pPr>
      <w:r w:rsidRPr="00054139">
        <w:rPr>
          <w:rFonts w:ascii="PT Sans Narrow" w:hAnsi="PT Sans Narrow"/>
          <w:color w:val="00B0F0"/>
          <w:w w:val="80"/>
          <w:sz w:val="36"/>
          <w:szCs w:val="36"/>
          <w:lang w:val="it-IT"/>
        </w:rPr>
        <w:t>Condizioni</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tecnico-economiche</w:t>
      </w:r>
      <w:r w:rsidRPr="00054139">
        <w:rPr>
          <w:rFonts w:ascii="PT Sans Narrow" w:hAnsi="PT Sans Narrow"/>
          <w:color w:val="00B0F0"/>
          <w:spacing w:val="31"/>
          <w:w w:val="80"/>
          <w:sz w:val="36"/>
          <w:szCs w:val="36"/>
          <w:lang w:val="it-IT"/>
        </w:rPr>
        <w:t xml:space="preserve"> </w:t>
      </w:r>
      <w:r w:rsidRPr="00054139">
        <w:rPr>
          <w:rFonts w:ascii="PT Sans Narrow" w:hAnsi="PT Sans Narrow"/>
          <w:color w:val="00B0F0"/>
          <w:w w:val="80"/>
          <w:sz w:val="36"/>
          <w:szCs w:val="36"/>
          <w:lang w:val="it-IT"/>
        </w:rPr>
        <w:t>fornitura</w:t>
      </w:r>
      <w:r w:rsidRPr="00054139">
        <w:rPr>
          <w:rFonts w:ascii="PT Sans Narrow" w:hAnsi="PT Sans Narrow"/>
          <w:color w:val="00B0F0"/>
          <w:spacing w:val="32"/>
          <w:w w:val="80"/>
          <w:sz w:val="36"/>
          <w:szCs w:val="36"/>
          <w:lang w:val="it-IT"/>
        </w:rPr>
        <w:t xml:space="preserve"> </w:t>
      </w:r>
      <w:r w:rsidRPr="00054139">
        <w:rPr>
          <w:rFonts w:ascii="PT Sans Narrow" w:hAnsi="PT Sans Narrow"/>
          <w:color w:val="00B0F0"/>
          <w:w w:val="80"/>
          <w:sz w:val="36"/>
          <w:szCs w:val="36"/>
          <w:lang w:val="it-IT"/>
        </w:rPr>
        <w:t>Gas naturale</w:t>
      </w:r>
    </w:p>
    <w:p w14:paraId="7F10E406" w14:textId="77777777" w:rsidR="0022612C" w:rsidRPr="009A4C0C" w:rsidRDefault="0022612C" w:rsidP="0022612C">
      <w:pPr>
        <w:pStyle w:val="Titolo"/>
        <w:spacing w:before="0"/>
        <w:ind w:left="0" w:firstLine="0"/>
        <w:contextualSpacing/>
        <w:mirrorIndents/>
        <w:jc w:val="center"/>
        <w:rPr>
          <w:rFonts w:ascii="PT Sans Narrow" w:hAnsi="PT Sans Narrow"/>
          <w:color w:val="92D050"/>
          <w:spacing w:val="35"/>
          <w:w w:val="80"/>
          <w:sz w:val="36"/>
          <w:szCs w:val="36"/>
          <w:lang w:val="it-IT"/>
        </w:rPr>
      </w:pPr>
    </w:p>
    <w:p w14:paraId="4608A8EC" w14:textId="1BB8AD18" w:rsidR="0022612C" w:rsidRPr="009A4C0C" w:rsidRDefault="0022612C" w:rsidP="0022612C">
      <w:pPr>
        <w:jc w:val="center"/>
        <w:rPr>
          <w:rFonts w:ascii="PT Sans Narrow" w:eastAsia="Times New Roman" w:hAnsi="PT Sans Narrow" w:cs="Calibri"/>
          <w:b/>
          <w:bCs/>
          <w:color w:val="000000"/>
          <w:lang w:eastAsia="it-IT"/>
        </w:rPr>
      </w:pPr>
      <w:r w:rsidRPr="009A4C0C">
        <w:rPr>
          <w:rFonts w:ascii="PT Sans Narrow" w:hAnsi="PT Sans Narrow"/>
          <w:b/>
          <w:bCs/>
        </w:rPr>
        <w:t>Codice offerta</w:t>
      </w:r>
      <w:r w:rsidRPr="009A4C0C">
        <w:rPr>
          <w:rFonts w:ascii="PT Sans Narrow" w:hAnsi="PT Sans Narrow"/>
        </w:rPr>
        <w:t xml:space="preserve">: </w:t>
      </w:r>
      <w:r w:rsidR="00671270" w:rsidRPr="00671270">
        <w:rPr>
          <w:rFonts w:ascii="PT Sans Narrow" w:eastAsia="Times New Roman" w:hAnsi="PT Sans Narrow" w:cs="Calibri"/>
          <w:b/>
          <w:bCs/>
          <w:color w:val="000000"/>
          <w:lang w:eastAsia="it-IT"/>
        </w:rPr>
        <w:t>020921GSVMP01XXSKY20250200000003</w:t>
      </w:r>
    </w:p>
    <w:p w14:paraId="1AE20058" w14:textId="27E0F851" w:rsidR="00B552B3" w:rsidRPr="0022612C" w:rsidRDefault="00F6545D" w:rsidP="00FE1C8E">
      <w:pPr>
        <w:spacing w:line="240" w:lineRule="auto"/>
        <w:contextualSpacing/>
        <w:mirrorIndents/>
        <w:jc w:val="both"/>
        <w:rPr>
          <w:rFonts w:ascii="PT Sans Narrow" w:eastAsia="Times New Roman" w:hAnsi="PT Sans Narrow" w:cs="Calibri"/>
          <w:b/>
          <w:bCs/>
          <w:color w:val="000000"/>
          <w:lang w:eastAsia="it-IT"/>
        </w:rPr>
      </w:pPr>
      <w:r w:rsidRPr="0022612C">
        <w:rPr>
          <w:rFonts w:ascii="PT Sans Narrow" w:hAnsi="PT Sans Narrow"/>
          <w:b/>
          <w:bCs/>
        </w:rPr>
        <w:t>Valid</w:t>
      </w:r>
      <w:r w:rsidR="00714AE3" w:rsidRPr="0022612C">
        <w:rPr>
          <w:rFonts w:ascii="PT Sans Narrow" w:hAnsi="PT Sans Narrow"/>
          <w:b/>
          <w:bCs/>
        </w:rPr>
        <w:t>ità</w:t>
      </w:r>
      <w:r w:rsidRPr="0022612C">
        <w:rPr>
          <w:rFonts w:ascii="PT Sans Narrow" w:hAnsi="PT Sans Narrow"/>
          <w:b/>
          <w:bCs/>
        </w:rPr>
        <w:t xml:space="preserve"> dal</w:t>
      </w:r>
      <w:r w:rsidR="008026BD" w:rsidRPr="0022612C">
        <w:rPr>
          <w:rFonts w:ascii="PT Sans Narrow" w:hAnsi="PT Sans Narrow"/>
          <w:b/>
          <w:bCs/>
        </w:rPr>
        <w:t xml:space="preserve"> 01/0</w:t>
      </w:r>
      <w:r w:rsidR="00510D08">
        <w:rPr>
          <w:rFonts w:ascii="PT Sans Narrow" w:hAnsi="PT Sans Narrow"/>
          <w:b/>
          <w:bCs/>
        </w:rPr>
        <w:t>1</w:t>
      </w:r>
      <w:r w:rsidR="008026BD" w:rsidRPr="0022612C">
        <w:rPr>
          <w:rFonts w:ascii="PT Sans Narrow" w:hAnsi="PT Sans Narrow"/>
          <w:b/>
          <w:bCs/>
        </w:rPr>
        <w:t>/202</w:t>
      </w:r>
      <w:r w:rsidR="00C025CC">
        <w:rPr>
          <w:rFonts w:ascii="PT Sans Narrow" w:hAnsi="PT Sans Narrow"/>
          <w:b/>
          <w:bCs/>
        </w:rPr>
        <w:t>5</w:t>
      </w:r>
      <w:r w:rsidR="008026BD" w:rsidRPr="0022612C">
        <w:rPr>
          <w:rFonts w:ascii="PT Sans Narrow" w:hAnsi="PT Sans Narrow"/>
          <w:b/>
          <w:bCs/>
        </w:rPr>
        <w:t xml:space="preserve"> al 31/12/202</w:t>
      </w:r>
      <w:r w:rsidR="00C025CC">
        <w:rPr>
          <w:rFonts w:ascii="PT Sans Narrow" w:hAnsi="PT Sans Narrow"/>
          <w:b/>
          <w:bCs/>
        </w:rPr>
        <w:t>5</w:t>
      </w:r>
    </w:p>
    <w:p w14:paraId="76628881" w14:textId="17C6B7AE" w:rsidR="007A71AC" w:rsidRPr="0022612C" w:rsidRDefault="007A71AC" w:rsidP="00FE1C8E">
      <w:pPr>
        <w:spacing w:line="240" w:lineRule="auto"/>
        <w:contextualSpacing/>
        <w:mirrorIndents/>
        <w:jc w:val="both"/>
        <w:rPr>
          <w:rFonts w:ascii="PT Sans Narrow" w:hAnsi="PT Sans Narrow"/>
        </w:rPr>
      </w:pPr>
      <w:r w:rsidRPr="0022612C">
        <w:rPr>
          <w:rFonts w:ascii="PT Sans Narrow" w:hAnsi="PT Sans Narrow"/>
        </w:rPr>
        <w:t xml:space="preserve">La presente offerta è destinata </w:t>
      </w:r>
      <w:r w:rsidR="00405597" w:rsidRPr="0022612C">
        <w:rPr>
          <w:rFonts w:ascii="PT Sans Narrow" w:hAnsi="PT Sans Narrow"/>
        </w:rPr>
        <w:t xml:space="preserve">alle utenze </w:t>
      </w:r>
      <w:r w:rsidR="00782773" w:rsidRPr="0022612C">
        <w:rPr>
          <w:rFonts w:ascii="PT Sans Narrow" w:hAnsi="PT Sans Narrow"/>
        </w:rPr>
        <w:t>domestiche</w:t>
      </w:r>
      <w:r w:rsidR="00EF0C47" w:rsidRPr="0022612C">
        <w:rPr>
          <w:rFonts w:ascii="PT Sans Narrow" w:hAnsi="PT Sans Narrow"/>
        </w:rPr>
        <w:t xml:space="preserve"> e condomini uso domestico</w:t>
      </w:r>
      <w:r w:rsidR="00782773" w:rsidRPr="0022612C">
        <w:rPr>
          <w:rFonts w:ascii="PT Sans Narrow" w:hAnsi="PT Sans Narrow"/>
        </w:rPr>
        <w:t xml:space="preserve">, con consumo annuo fino a 200.000 </w:t>
      </w:r>
      <w:proofErr w:type="spellStart"/>
      <w:r w:rsidR="00782773" w:rsidRPr="0022612C">
        <w:rPr>
          <w:rFonts w:ascii="PT Sans Narrow" w:hAnsi="PT Sans Narrow"/>
        </w:rPr>
        <w:t>Smc</w:t>
      </w:r>
      <w:proofErr w:type="spellEnd"/>
      <w:r w:rsidR="00782773" w:rsidRPr="0022612C">
        <w:rPr>
          <w:rFonts w:ascii="PT Sans Narrow" w:hAnsi="PT Sans Narrow"/>
        </w:rPr>
        <w:t xml:space="preserve"> </w:t>
      </w:r>
      <w:r w:rsidRPr="0022612C">
        <w:rPr>
          <w:rFonts w:ascii="PT Sans Narrow" w:hAnsi="PT Sans Narrow"/>
        </w:rPr>
        <w:t>nei casi di cambio fornitore, cambio offerta, nuova attivazione, subentro e voltura.</w:t>
      </w:r>
    </w:p>
    <w:p w14:paraId="3D1BB2E0" w14:textId="43D272AA" w:rsidR="007A71AC" w:rsidRDefault="007A71AC" w:rsidP="00FE1C8E">
      <w:pPr>
        <w:spacing w:line="240" w:lineRule="auto"/>
        <w:contextualSpacing/>
        <w:mirrorIndents/>
        <w:jc w:val="both"/>
        <w:rPr>
          <w:rFonts w:ascii="PT Sans Narrow" w:hAnsi="PT Sans Narrow"/>
        </w:rPr>
      </w:pPr>
      <w:r w:rsidRPr="0022612C">
        <w:rPr>
          <w:rFonts w:ascii="PT Sans Narrow" w:hAnsi="PT Sans Narrow"/>
        </w:rPr>
        <w:t>Questa offerta per il Mercato Libero prevede condizioni contrattuali standard e una struttura di prezzo definita dall’Autorità e recepisce senza deroghe tutte le disposizioni in tema di fatturazione previste dalla normativa di settore.</w:t>
      </w:r>
    </w:p>
    <w:p w14:paraId="7B85BFEB" w14:textId="77777777" w:rsidR="0022612C" w:rsidRPr="0022612C" w:rsidRDefault="0022612C" w:rsidP="00FE1C8E">
      <w:pPr>
        <w:spacing w:line="240" w:lineRule="auto"/>
        <w:contextualSpacing/>
        <w:mirrorIndents/>
        <w:jc w:val="both"/>
        <w:rPr>
          <w:rFonts w:ascii="PT Sans Narrow" w:hAnsi="PT Sans Narrow"/>
        </w:rPr>
      </w:pPr>
    </w:p>
    <w:p w14:paraId="1BF4979C" w14:textId="0056B888" w:rsidR="007A71AC" w:rsidRPr="0022612C" w:rsidRDefault="00CA2337" w:rsidP="00FE1C8E">
      <w:pPr>
        <w:spacing w:line="240" w:lineRule="auto"/>
        <w:contextualSpacing/>
        <w:mirrorIndents/>
        <w:jc w:val="both"/>
        <w:rPr>
          <w:rFonts w:ascii="PT Sans Narrow" w:hAnsi="PT Sans Narrow"/>
          <w:b/>
          <w:bCs/>
          <w:color w:val="00B0F0"/>
          <w:sz w:val="24"/>
          <w:szCs w:val="24"/>
        </w:rPr>
      </w:pPr>
      <w:r w:rsidRPr="0022612C">
        <w:rPr>
          <w:rFonts w:ascii="PT Sans Narrow" w:hAnsi="PT Sans Narrow"/>
          <w:b/>
          <w:bCs/>
          <w:color w:val="00B0F0"/>
          <w:sz w:val="24"/>
          <w:szCs w:val="24"/>
        </w:rPr>
        <w:t>Prezzi di fornitura</w:t>
      </w:r>
    </w:p>
    <w:p w14:paraId="6EE04561" w14:textId="2B231513" w:rsidR="00CA2337"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 xml:space="preserve">Per i consumi di </w:t>
      </w:r>
      <w:r w:rsidR="00101329" w:rsidRPr="0022612C">
        <w:rPr>
          <w:rFonts w:ascii="PT Sans Narrow" w:hAnsi="PT Sans Narrow"/>
        </w:rPr>
        <w:t>gas naturale</w:t>
      </w:r>
      <w:r w:rsidRPr="0022612C">
        <w:rPr>
          <w:rFonts w:ascii="PT Sans Narrow" w:hAnsi="PT Sans Narrow"/>
        </w:rPr>
        <w:t xml:space="preserve"> </w:t>
      </w:r>
      <w:r w:rsidR="00CA2337" w:rsidRPr="0022612C">
        <w:rPr>
          <w:rFonts w:ascii="PT Sans Narrow" w:hAnsi="PT Sans Narrow"/>
        </w:rPr>
        <w:t>saranno fatturati corrispettivi suddivisi tra: Spesa per la materia gas naturale, Spesa per il trasporto e gestione del contatore e Spesa per oneri di sistema.</w:t>
      </w:r>
    </w:p>
    <w:p w14:paraId="7E2A5584" w14:textId="7781C3C5" w:rsidR="004767FC" w:rsidRPr="0022612C" w:rsidRDefault="00FF2020" w:rsidP="00FE1C8E">
      <w:pPr>
        <w:spacing w:line="240" w:lineRule="auto"/>
        <w:contextualSpacing/>
        <w:mirrorIndents/>
        <w:jc w:val="both"/>
        <w:rPr>
          <w:rFonts w:ascii="PT Sans Narrow" w:hAnsi="PT Sans Narrow"/>
        </w:rPr>
      </w:pPr>
      <w:r w:rsidRPr="0022612C">
        <w:rPr>
          <w:rFonts w:ascii="PT Sans Narrow" w:hAnsi="PT Sans Narrow"/>
        </w:rPr>
        <w:t xml:space="preserve">Per la Spesa per la materia gas naturale </w:t>
      </w:r>
      <w:r w:rsidR="004767FC" w:rsidRPr="0022612C">
        <w:rPr>
          <w:rFonts w:ascii="PT Sans Narrow" w:hAnsi="PT Sans Narrow"/>
        </w:rPr>
        <w:t>il Cliente corrisponderà al fornitore i prezzi per 12 mesi indicati in tabella, suddivisi tra una componente PVOL, applicata ai consumi prelevati mensilmente dalla rete ed espressa in €/</w:t>
      </w:r>
      <w:proofErr w:type="spellStart"/>
      <w:r w:rsidR="00782773" w:rsidRPr="0022612C">
        <w:rPr>
          <w:rFonts w:ascii="PT Sans Narrow" w:hAnsi="PT Sans Narrow"/>
        </w:rPr>
        <w:t>Smc</w:t>
      </w:r>
      <w:proofErr w:type="spellEnd"/>
      <w:r w:rsidR="004767FC" w:rsidRPr="0022612C">
        <w:rPr>
          <w:rFonts w:ascii="PT Sans Narrow" w:hAnsi="PT Sans Narrow"/>
        </w:rPr>
        <w:t>, ed una componente PFIX, applicata ad ogni punto di prelievo ed espressa in €/anno.</w:t>
      </w:r>
    </w:p>
    <w:p w14:paraId="6811C6CA" w14:textId="77777777" w:rsidR="00EF21FD" w:rsidRPr="0022612C" w:rsidRDefault="000A28FF" w:rsidP="000A28FF">
      <w:pPr>
        <w:spacing w:line="240" w:lineRule="auto"/>
        <w:contextualSpacing/>
        <w:mirrorIndents/>
        <w:jc w:val="both"/>
        <w:rPr>
          <w:rFonts w:ascii="PT Sans Narrow" w:hAnsi="PT Sans Narrow"/>
        </w:rPr>
      </w:pPr>
      <w:r w:rsidRPr="0022612C">
        <w:rPr>
          <w:rFonts w:ascii="PT Sans Narrow" w:hAnsi="PT Sans Narrow"/>
        </w:rPr>
        <w:t>Il prezzo della componente PVOL è definito dalla formula</w:t>
      </w:r>
      <w:r w:rsidR="005810F9" w:rsidRPr="0022612C">
        <w:rPr>
          <w:rFonts w:ascii="PT Sans Narrow" w:hAnsi="PT Sans Narrow"/>
        </w:rPr>
        <w:t xml:space="preserve">: (PVOL) = (P_INGM + </w:t>
      </w:r>
      <w:r w:rsidR="005810F9" w:rsidRPr="0022612C">
        <w:rPr>
          <w:rFonts w:ascii="Calibri" w:hAnsi="Calibri" w:cs="Calibri"/>
        </w:rPr>
        <w:t>α</w:t>
      </w:r>
      <w:r w:rsidR="005810F9" w:rsidRPr="0022612C">
        <w:rPr>
          <w:rFonts w:ascii="PT Sans Narrow" w:hAnsi="PT Sans Narrow"/>
        </w:rPr>
        <w:t>)</w:t>
      </w:r>
      <w:r w:rsidR="00EF21FD" w:rsidRPr="0022612C">
        <w:rPr>
          <w:rFonts w:ascii="PT Sans Narrow" w:hAnsi="PT Sans Narrow"/>
        </w:rPr>
        <w:t>.</w:t>
      </w:r>
    </w:p>
    <w:p w14:paraId="55FFCEE0" w14:textId="65BF62AA" w:rsidR="000A28FF" w:rsidRPr="0022612C" w:rsidRDefault="00B720E0" w:rsidP="000A28FF">
      <w:pPr>
        <w:spacing w:line="240" w:lineRule="auto"/>
        <w:contextualSpacing/>
        <w:mirrorIndents/>
        <w:jc w:val="both"/>
        <w:rPr>
          <w:rFonts w:ascii="PT Sans Narrow" w:hAnsi="PT Sans Narrow"/>
        </w:rPr>
      </w:pPr>
      <w:r w:rsidRPr="0022612C">
        <w:rPr>
          <w:rFonts w:ascii="PT Sans Narrow" w:hAnsi="PT Sans Narrow"/>
        </w:rPr>
        <w:t xml:space="preserve">Di seguito il P_INGM relativo al mese di </w:t>
      </w:r>
      <w:r w:rsidR="00C025CC">
        <w:rPr>
          <w:rFonts w:ascii="PT Sans Narrow" w:hAnsi="PT Sans Narrow"/>
        </w:rPr>
        <w:t>Dicembre</w:t>
      </w:r>
      <w:r w:rsidRPr="0022612C">
        <w:rPr>
          <w:rFonts w:ascii="PT Sans Narrow" w:hAnsi="PT Sans Narrow"/>
        </w:rPr>
        <w:t xml:space="preserve"> 202</w:t>
      </w:r>
      <w:r w:rsidR="00C025CC">
        <w:rPr>
          <w:rFonts w:ascii="PT Sans Narrow" w:hAnsi="PT Sans Narrow"/>
        </w:rPr>
        <w:t>4</w:t>
      </w:r>
      <w:r w:rsidR="000A28FF" w:rsidRPr="0022612C">
        <w:rPr>
          <w:rFonts w:ascii="PT Sans Narrow" w:hAnsi="PT Sans Narrow"/>
        </w:rPr>
        <w:t>:</w:t>
      </w:r>
      <w:r w:rsidR="00C025CC">
        <w:rPr>
          <w:rFonts w:ascii="PT Sans Narrow" w:hAnsi="PT Sans Narrow"/>
        </w:rPr>
        <w:t xml:space="preserve"> 1,01 €/</w:t>
      </w:r>
      <w:proofErr w:type="spellStart"/>
      <w:r w:rsidR="00C025CC">
        <w:rPr>
          <w:rFonts w:ascii="PT Sans Narrow" w:hAnsi="PT Sans Narrow"/>
        </w:rPr>
        <w:t>Smc</w:t>
      </w:r>
      <w:proofErr w:type="spellEnd"/>
    </w:p>
    <w:p w14:paraId="1645C2A5" w14:textId="77777777" w:rsidR="00F17379" w:rsidRPr="0022612C" w:rsidRDefault="00F17379" w:rsidP="00FE1C8E">
      <w:pPr>
        <w:spacing w:line="240" w:lineRule="auto"/>
        <w:contextualSpacing/>
        <w:mirrorIndents/>
        <w:jc w:val="both"/>
        <w:rPr>
          <w:rFonts w:ascii="PT Sans Narrow" w:hAnsi="PT Sans Narrow"/>
        </w:rPr>
      </w:pPr>
    </w:p>
    <w:p w14:paraId="3D8C5195" w14:textId="11F6029E" w:rsidR="00E263A1" w:rsidRPr="0022612C" w:rsidRDefault="00BA39B3" w:rsidP="005B528F">
      <w:pPr>
        <w:spacing w:line="240" w:lineRule="auto"/>
        <w:contextualSpacing/>
        <w:mirrorIndents/>
        <w:jc w:val="center"/>
        <w:rPr>
          <w:rFonts w:ascii="PT Sans Narrow" w:hAnsi="PT Sans Narrow"/>
        </w:rPr>
      </w:pPr>
      <w:r w:rsidRPr="0022612C">
        <w:rPr>
          <w:rFonts w:ascii="Calibri" w:hAnsi="Calibri" w:cs="Calibri"/>
          <w:color w:val="00B0F0"/>
          <w:sz w:val="24"/>
          <w:szCs w:val="24"/>
        </w:rPr>
        <w:t>α</w:t>
      </w:r>
      <w:r w:rsidRPr="0022612C">
        <w:rPr>
          <w:rFonts w:ascii="PT Sans Narrow" w:hAnsi="PT Sans Narrow"/>
          <w:color w:val="BA1C58"/>
        </w:rPr>
        <w:t xml:space="preserve"> </w:t>
      </w:r>
      <w:r w:rsidR="006011B9" w:rsidRPr="0022612C">
        <w:rPr>
          <w:rFonts w:ascii="PT Sans Narrow" w:hAnsi="PT Sans Narrow"/>
        </w:rPr>
        <w:t xml:space="preserve">= </w:t>
      </w:r>
      <w:r w:rsidR="004A663A" w:rsidRPr="0022612C">
        <w:rPr>
          <w:rFonts w:ascii="PT Sans Narrow" w:hAnsi="PT Sans Narrow"/>
        </w:rPr>
        <w:t>0,</w:t>
      </w:r>
      <w:r w:rsidR="00C025CC">
        <w:rPr>
          <w:rFonts w:ascii="PT Sans Narrow" w:hAnsi="PT Sans Narrow"/>
        </w:rPr>
        <w:t>5</w:t>
      </w:r>
      <w:r w:rsidR="00FE3473" w:rsidRPr="0022612C">
        <w:rPr>
          <w:rFonts w:ascii="PT Sans Narrow" w:hAnsi="PT Sans Narrow"/>
        </w:rPr>
        <w:t>0</w:t>
      </w:r>
      <w:r w:rsidR="004A663A" w:rsidRPr="0022612C">
        <w:rPr>
          <w:rFonts w:ascii="PT Sans Narrow" w:hAnsi="PT Sans Narrow"/>
        </w:rPr>
        <w:t xml:space="preserve"> </w:t>
      </w:r>
      <w:r w:rsidR="005F319A" w:rsidRPr="0022612C">
        <w:rPr>
          <w:rFonts w:ascii="PT Sans Narrow" w:hAnsi="PT Sans Narrow"/>
        </w:rPr>
        <w:t>€/</w:t>
      </w:r>
      <w:proofErr w:type="spellStart"/>
      <w:r w:rsidR="005F319A" w:rsidRPr="0022612C">
        <w:rPr>
          <w:rFonts w:ascii="PT Sans Narrow" w:hAnsi="PT Sans Narrow"/>
        </w:rPr>
        <w:t>Smc</w:t>
      </w:r>
      <w:proofErr w:type="spellEnd"/>
      <w:r w:rsidR="006D1A9E" w:rsidRPr="0022612C">
        <w:rPr>
          <w:rFonts w:ascii="PT Sans Narrow" w:hAnsi="PT Sans Narrow"/>
        </w:rPr>
        <w:t xml:space="preserve"> </w:t>
      </w:r>
    </w:p>
    <w:p w14:paraId="0BB97596" w14:textId="77777777" w:rsidR="00E263A1" w:rsidRPr="0022612C" w:rsidRDefault="00E263A1" w:rsidP="00FE1C8E">
      <w:pPr>
        <w:spacing w:line="240" w:lineRule="auto"/>
        <w:contextualSpacing/>
        <w:mirrorIndents/>
        <w:jc w:val="both"/>
        <w:rPr>
          <w:rFonts w:ascii="PT Sans Narrow" w:hAnsi="PT Sans Narrow"/>
        </w:rPr>
      </w:pPr>
    </w:p>
    <w:p w14:paraId="4E359FCF" w14:textId="7295392A" w:rsidR="00296AFA" w:rsidRPr="0022612C" w:rsidRDefault="00296AFA" w:rsidP="00296AFA">
      <w:pPr>
        <w:spacing w:line="240" w:lineRule="auto"/>
        <w:contextualSpacing/>
        <w:mirrorIndents/>
        <w:jc w:val="both"/>
        <w:rPr>
          <w:rFonts w:ascii="PT Sans Narrow" w:hAnsi="PT Sans Narrow"/>
        </w:rPr>
      </w:pPr>
      <w:r w:rsidRPr="0022612C">
        <w:rPr>
          <w:rFonts w:ascii="PT Sans Narrow" w:hAnsi="PT Sans Narrow"/>
        </w:rPr>
        <w:t xml:space="preserve">Negli ultimi 12 mesi, il P_INGM ha raggiunto il valore massimo di </w:t>
      </w:r>
      <w:r w:rsidR="00C025CC">
        <w:rPr>
          <w:rFonts w:ascii="PT Sans Narrow" w:hAnsi="PT Sans Narrow"/>
        </w:rPr>
        <w:t xml:space="preserve">0,51 </w:t>
      </w:r>
      <w:r w:rsidRPr="0022612C">
        <w:rPr>
          <w:rFonts w:ascii="PT Sans Narrow" w:hAnsi="PT Sans Narrow"/>
        </w:rPr>
        <w:t>€/</w:t>
      </w:r>
      <w:proofErr w:type="spellStart"/>
      <w:r w:rsidRPr="0022612C">
        <w:rPr>
          <w:rFonts w:ascii="PT Sans Narrow" w:hAnsi="PT Sans Narrow"/>
        </w:rPr>
        <w:t>Smc</w:t>
      </w:r>
      <w:proofErr w:type="spellEnd"/>
      <w:r w:rsidRPr="0022612C">
        <w:rPr>
          <w:rFonts w:ascii="PT Sans Narrow" w:hAnsi="PT Sans Narrow"/>
        </w:rPr>
        <w:t xml:space="preserve"> nel mese di Dicembre202</w:t>
      </w:r>
      <w:r w:rsidR="00C025CC">
        <w:rPr>
          <w:rFonts w:ascii="PT Sans Narrow" w:hAnsi="PT Sans Narrow"/>
        </w:rPr>
        <w:t>4</w:t>
      </w:r>
      <w:r w:rsidRPr="0022612C">
        <w:rPr>
          <w:rFonts w:ascii="PT Sans Narrow" w:hAnsi="PT Sans Narrow"/>
        </w:rPr>
        <w:t>.</w:t>
      </w:r>
    </w:p>
    <w:p w14:paraId="793E1100" w14:textId="77777777" w:rsidR="00B97D4C" w:rsidRPr="0022612C" w:rsidRDefault="00B97D4C" w:rsidP="00B97D4C">
      <w:pPr>
        <w:spacing w:line="240" w:lineRule="auto"/>
        <w:contextualSpacing/>
        <w:mirrorIndents/>
        <w:jc w:val="both"/>
        <w:rPr>
          <w:rFonts w:ascii="PT Sans Narrow" w:hAnsi="PT Sans Narrow"/>
        </w:rPr>
      </w:pPr>
      <w:r w:rsidRPr="0022612C">
        <w:rPr>
          <w:rFonts w:ascii="PT Sans Narrow" w:hAnsi="PT Sans Narrow"/>
        </w:rPr>
        <w:t>P_INGM è la componente CMEM pubblicata da ARERA, espressa come media mensile in €/MWh (convertita in €/</w:t>
      </w:r>
      <w:proofErr w:type="spellStart"/>
      <w:r w:rsidRPr="0022612C">
        <w:rPr>
          <w:rFonts w:ascii="PT Sans Narrow" w:hAnsi="PT Sans Narrow"/>
        </w:rPr>
        <w:t>Smc</w:t>
      </w:r>
      <w:proofErr w:type="spellEnd"/>
      <w:r w:rsidRPr="0022612C">
        <w:rPr>
          <w:rFonts w:ascii="PT Sans Narrow" w:hAnsi="PT Sans Narrow"/>
        </w:rPr>
        <w:t xml:space="preserve"> usando un PCS pari a 0,03852 GJ/</w:t>
      </w:r>
      <w:proofErr w:type="spellStart"/>
      <w:r w:rsidRPr="0022612C">
        <w:rPr>
          <w:rFonts w:ascii="PT Sans Narrow" w:hAnsi="PT Sans Narrow"/>
        </w:rPr>
        <w:t>Smc</w:t>
      </w:r>
      <w:proofErr w:type="spellEnd"/>
      <w:r w:rsidRPr="0022612C">
        <w:rPr>
          <w:rFonts w:ascii="PT Sans Narrow" w:hAnsi="PT Sans Narrow"/>
        </w:rPr>
        <w:t xml:space="preserve">) del prezzo giornaliero e determinato come segue: i se il giorno di riferimento (giorno G) è un giorno lavorativo,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“Day-</w:t>
      </w:r>
      <w:proofErr w:type="spellStart"/>
      <w:r w:rsidRPr="0022612C">
        <w:rPr>
          <w:rFonts w:ascii="PT Sans Narrow" w:hAnsi="PT Sans Narrow"/>
        </w:rPr>
        <w:t>Ahead</w:t>
      </w:r>
      <w:proofErr w:type="spellEnd"/>
      <w:r w:rsidRPr="0022612C">
        <w:rPr>
          <w:rFonts w:ascii="PT Sans Narrow" w:hAnsi="PT Sans Narrow"/>
        </w:rPr>
        <w:t xml:space="preserve">”,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 se il giorno di riferimento (giorno G) ricade in un fine settimana o in una festività, la media dei prezzi </w:t>
      </w:r>
      <w:proofErr w:type="spellStart"/>
      <w:r w:rsidRPr="0022612C">
        <w:rPr>
          <w:rFonts w:ascii="PT Sans Narrow" w:hAnsi="PT Sans Narrow"/>
        </w:rPr>
        <w:t>bid</w:t>
      </w:r>
      <w:proofErr w:type="spellEnd"/>
      <w:r w:rsidRPr="0022612C">
        <w:rPr>
          <w:rFonts w:ascii="PT Sans Narrow" w:hAnsi="PT Sans Narrow"/>
        </w:rPr>
        <w:t xml:space="preserve"> e </w:t>
      </w:r>
      <w:proofErr w:type="spellStart"/>
      <w:r w:rsidRPr="0022612C">
        <w:rPr>
          <w:rFonts w:ascii="PT Sans Narrow" w:hAnsi="PT Sans Narrow"/>
        </w:rPr>
        <w:t>offer</w:t>
      </w:r>
      <w:proofErr w:type="spellEnd"/>
      <w:r w:rsidRPr="0022612C">
        <w:rPr>
          <w:rFonts w:ascii="PT Sans Narrow" w:hAnsi="PT Sans Narrow"/>
        </w:rPr>
        <w:t xml:space="preserve"> “Weekend”, pubblicati da ICIS </w:t>
      </w:r>
      <w:proofErr w:type="spellStart"/>
      <w:r w:rsidRPr="0022612C">
        <w:rPr>
          <w:rFonts w:ascii="PT Sans Narrow" w:hAnsi="PT Sans Narrow"/>
        </w:rPr>
        <w:t>Heren</w:t>
      </w:r>
      <w:proofErr w:type="spellEnd"/>
      <w:r w:rsidRPr="0022612C">
        <w:rPr>
          <w:rFonts w:ascii="PT Sans Narrow" w:hAnsi="PT Sans Narrow"/>
        </w:rPr>
        <w:t xml:space="preserve"> nel report ESGM (</w:t>
      </w:r>
      <w:proofErr w:type="spellStart"/>
      <w:r w:rsidRPr="0022612C">
        <w:rPr>
          <w:rFonts w:ascii="PT Sans Narrow" w:hAnsi="PT Sans Narrow"/>
        </w:rPr>
        <w:t>European</w:t>
      </w:r>
      <w:proofErr w:type="spellEnd"/>
      <w:r w:rsidRPr="0022612C">
        <w:rPr>
          <w:rFonts w:ascii="PT Sans Narrow" w:hAnsi="PT Sans Narrow"/>
        </w:rPr>
        <w:t xml:space="preserve"> Spot Gas Markets) all’interno della sezione “PSV Price </w:t>
      </w:r>
      <w:proofErr w:type="spellStart"/>
      <w:r w:rsidRPr="0022612C">
        <w:rPr>
          <w:rFonts w:ascii="PT Sans Narrow" w:hAnsi="PT Sans Narrow"/>
        </w:rPr>
        <w:t>Assessment</w:t>
      </w:r>
      <w:proofErr w:type="spellEnd"/>
      <w:r w:rsidRPr="0022612C">
        <w:rPr>
          <w:rFonts w:ascii="PT Sans Narrow" w:hAnsi="PT Sans Narrow"/>
        </w:rPr>
        <w:t xml:space="preserve">”, nel giorno lavorativo antecedente il giorno di riferimento, espressi in €/MWh; iii i giorni lavorativi e le festività sono individuati in base alla metodologia di </w:t>
      </w:r>
      <w:proofErr w:type="spellStart"/>
      <w:r w:rsidRPr="0022612C">
        <w:rPr>
          <w:rFonts w:ascii="PT Sans Narrow" w:hAnsi="PT Sans Narrow"/>
        </w:rPr>
        <w:t>assessment</w:t>
      </w:r>
      <w:proofErr w:type="spellEnd"/>
      <w:r w:rsidRPr="0022612C">
        <w:rPr>
          <w:rFonts w:ascii="PT Sans Narrow" w:hAnsi="PT Sans Narrow"/>
        </w:rPr>
        <w:t xml:space="preserve"> di ICIS </w:t>
      </w:r>
      <w:proofErr w:type="spellStart"/>
      <w:r w:rsidRPr="0022612C">
        <w:rPr>
          <w:rFonts w:ascii="PT Sans Narrow" w:hAnsi="PT Sans Narrow"/>
        </w:rPr>
        <w:t>Heren</w:t>
      </w:r>
      <w:proofErr w:type="spellEnd"/>
      <w:r w:rsidRPr="0022612C">
        <w:rPr>
          <w:rFonts w:ascii="PT Sans Narrow" w:hAnsi="PT Sans Narrow"/>
        </w:rPr>
        <w:t>.</w:t>
      </w:r>
    </w:p>
    <w:p w14:paraId="2E384785" w14:textId="6E831F6F" w:rsidR="004767FC" w:rsidRPr="0022612C" w:rsidRDefault="00785149" w:rsidP="00FE1C8E">
      <w:pPr>
        <w:spacing w:line="240" w:lineRule="auto"/>
        <w:contextualSpacing/>
        <w:mirrorIndents/>
        <w:jc w:val="both"/>
        <w:rPr>
          <w:rFonts w:ascii="PT Sans Narrow" w:hAnsi="PT Sans Narrow"/>
        </w:rPr>
      </w:pPr>
      <w:r w:rsidRPr="0022612C">
        <w:rPr>
          <w:rFonts w:ascii="PT Sans Narrow" w:hAnsi="PT Sans Narrow"/>
        </w:rPr>
        <w:t>Il</w:t>
      </w:r>
      <w:r w:rsidR="004767FC" w:rsidRPr="0022612C">
        <w:rPr>
          <w:rFonts w:ascii="PT Sans Narrow" w:hAnsi="PT Sans Narrow"/>
        </w:rPr>
        <w:t xml:space="preserve"> corrispettivo in quota fissa (PFIX) a remunerazione delle attività afferenti al servizio di vendita corrispondente</w:t>
      </w:r>
      <w:r w:rsidRPr="0022612C">
        <w:rPr>
          <w:rFonts w:ascii="PT Sans Narrow" w:hAnsi="PT Sans Narrow"/>
        </w:rPr>
        <w:t xml:space="preserve"> sarà pari</w:t>
      </w:r>
      <w:r w:rsidR="004767FC" w:rsidRPr="0022612C">
        <w:rPr>
          <w:rFonts w:ascii="PT Sans Narrow" w:hAnsi="PT Sans Narrow"/>
        </w:rPr>
        <w:t xml:space="preserve"> a </w:t>
      </w:r>
      <w:r w:rsidR="00C025CC">
        <w:rPr>
          <w:rFonts w:ascii="PT Sans Narrow" w:hAnsi="PT Sans Narrow"/>
        </w:rPr>
        <w:t>24</w:t>
      </w:r>
      <w:r w:rsidR="00954C12" w:rsidRPr="0022612C">
        <w:rPr>
          <w:rFonts w:ascii="PT Sans Narrow" w:hAnsi="PT Sans Narrow"/>
        </w:rPr>
        <w:t>0</w:t>
      </w:r>
      <w:r w:rsidR="004767FC" w:rsidRPr="0022612C">
        <w:rPr>
          <w:rFonts w:ascii="PT Sans Narrow" w:hAnsi="PT Sans Narrow"/>
        </w:rPr>
        <w:t xml:space="preserve"> €/PD</w:t>
      </w:r>
      <w:r w:rsidR="002928D0" w:rsidRPr="0022612C">
        <w:rPr>
          <w:rFonts w:ascii="PT Sans Narrow" w:hAnsi="PT Sans Narrow"/>
        </w:rPr>
        <w:t>R</w:t>
      </w:r>
      <w:r w:rsidR="004767FC" w:rsidRPr="0022612C">
        <w:rPr>
          <w:rFonts w:ascii="PT Sans Narrow" w:hAnsi="PT Sans Narrow"/>
        </w:rPr>
        <w:t>/anno</w:t>
      </w:r>
      <w:r w:rsidR="00383B9C" w:rsidRPr="0022612C">
        <w:rPr>
          <w:rFonts w:ascii="PT Sans Narrow" w:hAnsi="PT Sans Narrow"/>
        </w:rPr>
        <w:t>.</w:t>
      </w:r>
    </w:p>
    <w:p w14:paraId="125DF6EC"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il trasporto e la gestione del contatore è costituita dai corrispettivi definiti dall’Autorità a copertura degli importi per le diverse attività che consentono ai venditori che consentono di consegnare ai clienti finali il gas e/o l’energia (costi ed oneri relativi ai servizi di trasmissione, trasporto, distribuzione, misura e simili).</w:t>
      </w:r>
    </w:p>
    <w:p w14:paraId="39D66D6A" w14:textId="77777777" w:rsidR="00F705CE" w:rsidRPr="0022612C" w:rsidRDefault="00F705CE" w:rsidP="00F705CE">
      <w:pPr>
        <w:spacing w:line="240" w:lineRule="auto"/>
        <w:contextualSpacing/>
        <w:mirrorIndents/>
        <w:jc w:val="both"/>
        <w:rPr>
          <w:rFonts w:ascii="PT Sans Narrow" w:hAnsi="PT Sans Narrow"/>
        </w:rPr>
      </w:pPr>
      <w:r w:rsidRPr="0022612C">
        <w:rPr>
          <w:rFonts w:ascii="PT Sans Narrow" w:hAnsi="PT Sans Narrow"/>
        </w:rPr>
        <w:t>La Spesa per oneri di sistema è costituita dai corrispettivi definiti e regolati dall’Autorità a copertura dei costi relativi ad attività di interesse generale per il sistema gas e /o elettrico.</w:t>
      </w:r>
    </w:p>
    <w:p w14:paraId="29BD04CB"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espressi in €/GJ sono riferiti ad un gas avente potere calorifico superiore (PCS) pari a P=0,03852 GJ/</w:t>
      </w:r>
      <w:proofErr w:type="spellStart"/>
      <w:r w:rsidRPr="0022612C">
        <w:rPr>
          <w:rFonts w:ascii="PT Sans Narrow" w:hAnsi="PT Sans Narrow"/>
        </w:rPr>
        <w:t>Smc</w:t>
      </w:r>
      <w:proofErr w:type="spellEnd"/>
      <w:r w:rsidRPr="0022612C">
        <w:rPr>
          <w:rFonts w:ascii="PT Sans Narrow" w:hAnsi="PT Sans Narrow"/>
        </w:rPr>
        <w:t xml:space="preserve">; essi saranno convertiti e adeguati in funzione del parametro PCS relativo all’impianto di distribuzione cui è connesso il </w:t>
      </w:r>
      <w:proofErr w:type="spellStart"/>
      <w:r w:rsidRPr="0022612C">
        <w:rPr>
          <w:rFonts w:ascii="PT Sans Narrow" w:hAnsi="PT Sans Narrow"/>
        </w:rPr>
        <w:t>PdR</w:t>
      </w:r>
      <w:proofErr w:type="spellEnd"/>
      <w:r w:rsidRPr="0022612C">
        <w:rPr>
          <w:rFonts w:ascii="PT Sans Narrow" w:hAnsi="PT Sans Narrow"/>
        </w:rPr>
        <w:t>, secondo le disposizioni del TIVG.</w:t>
      </w:r>
    </w:p>
    <w:p w14:paraId="536D9698" w14:textId="77777777" w:rsidR="00486A6B"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I corrispettivi unitari dovuti in base al consumo di gas naturale sono indicati assumendo un coefficiente di conversione C=1.</w:t>
      </w:r>
    </w:p>
    <w:p w14:paraId="12FBEE3F" w14:textId="2E371D90" w:rsidR="0074314A" w:rsidRPr="0022612C" w:rsidRDefault="00486A6B" w:rsidP="00486A6B">
      <w:pPr>
        <w:spacing w:line="240" w:lineRule="auto"/>
        <w:contextualSpacing/>
        <w:mirrorIndents/>
        <w:jc w:val="both"/>
        <w:rPr>
          <w:rFonts w:ascii="PT Sans Narrow" w:hAnsi="PT Sans Narrow"/>
        </w:rPr>
      </w:pPr>
      <w:r w:rsidRPr="0022612C">
        <w:rPr>
          <w:rFonts w:ascii="PT Sans Narrow" w:hAnsi="PT Sans Narrow"/>
        </w:rPr>
        <w:t xml:space="preserve">In sede di fatturazione, i corrispettivi e le componenti di cui sopra saranno applicati ai volumi con riferimento al Potere Calorifico Superiore convenzionale (PCS) relativo all'impianto di distribuzione cui è connesso il PDR, secondo le disposizioni del TIVG. Nel </w:t>
      </w:r>
      <w:r w:rsidRPr="0022612C">
        <w:rPr>
          <w:rFonts w:ascii="PT Sans Narrow" w:hAnsi="PT Sans Narrow"/>
        </w:rPr>
        <w:lastRenderedPageBreak/>
        <w:t>caso in cui il PDR non sia dotato di apparecchiatura per la correzione delle misure alle condizioni standard, la correzione ai fini della fatturazione dei volumi misurati avverrà in base al valore del coefficiente C applicabile, secondo le disposizioni del TIVG.</w:t>
      </w:r>
    </w:p>
    <w:p w14:paraId="0387AAC4" w14:textId="65EFA4C7" w:rsidR="004767FC" w:rsidRPr="0022612C" w:rsidRDefault="004767FC" w:rsidP="00FE1C8E">
      <w:pPr>
        <w:spacing w:line="240" w:lineRule="auto"/>
        <w:contextualSpacing/>
        <w:mirrorIndents/>
        <w:jc w:val="both"/>
        <w:rPr>
          <w:rFonts w:ascii="PT Sans Narrow" w:hAnsi="PT Sans Narrow"/>
        </w:rPr>
      </w:pPr>
      <w:r w:rsidRPr="0022612C">
        <w:rPr>
          <w:rFonts w:ascii="PT Sans Narrow" w:hAnsi="PT Sans Narrow"/>
        </w:rPr>
        <w:t>Il Cliente si impegna inoltre a corrispondere eventuali nuove componenti stabilite dall'ARERA, di volta in volta applicabili.</w:t>
      </w:r>
    </w:p>
    <w:p w14:paraId="4AE9FF88" w14:textId="77777777" w:rsidR="00537B2B" w:rsidRPr="0022612C" w:rsidRDefault="00537B2B" w:rsidP="00FE1C8E">
      <w:pPr>
        <w:spacing w:line="240" w:lineRule="auto"/>
        <w:contextualSpacing/>
        <w:mirrorIndents/>
        <w:jc w:val="both"/>
        <w:rPr>
          <w:rFonts w:ascii="PT Sans Narrow" w:hAnsi="PT Sans Narrow"/>
        </w:rPr>
      </w:pPr>
      <w:r w:rsidRPr="0022612C">
        <w:rPr>
          <w:rFonts w:ascii="PT Sans Narrow" w:hAnsi="PT Sans Narrow"/>
        </w:rPr>
        <w:t>I corrispettivi sono soggetti ad eventuali indicizzazioni/variazioni definite dall’ARERA qualora applicabili.</w:t>
      </w:r>
    </w:p>
    <w:p w14:paraId="373C248B" w14:textId="5045F6C1" w:rsidR="00C44A94" w:rsidRPr="0022612C" w:rsidRDefault="004767FC" w:rsidP="00C44A94">
      <w:pPr>
        <w:spacing w:line="240" w:lineRule="auto"/>
        <w:contextualSpacing/>
        <w:mirrorIndents/>
        <w:jc w:val="both"/>
        <w:rPr>
          <w:rFonts w:ascii="PT Sans Narrow" w:hAnsi="PT Sans Narrow"/>
        </w:rPr>
      </w:pPr>
      <w:r w:rsidRPr="0022612C">
        <w:rPr>
          <w:rFonts w:ascii="PT Sans Narrow" w:hAnsi="PT Sans Narrow"/>
        </w:rPr>
        <w:t>È possibile ottenere informazioni circa le aliquote delle imposte dovute dai clienti al venditore sul sito</w:t>
      </w:r>
      <w:r w:rsidR="00B30367" w:rsidRPr="0022612C">
        <w:rPr>
          <w:rFonts w:ascii="PT Sans Narrow" w:hAnsi="PT Sans Narrow"/>
        </w:rPr>
        <w:t xml:space="preserve"> </w:t>
      </w:r>
      <w:r w:rsidR="005D7BAD" w:rsidRPr="00597898">
        <w:rPr>
          <w:rFonts w:ascii="PT Sans Narrow" w:hAnsi="PT Sans Narrow"/>
        </w:rPr>
        <w:t>www.</w:t>
      </w:r>
      <w:r w:rsidR="00597898" w:rsidRPr="00597898">
        <w:rPr>
          <w:rFonts w:ascii="PT Sans Narrow" w:hAnsi="PT Sans Narrow"/>
        </w:rPr>
        <w:t>skyp</w:t>
      </w:r>
      <w:r w:rsidR="00597898">
        <w:rPr>
          <w:rFonts w:ascii="PT Sans Narrow" w:hAnsi="PT Sans Narrow"/>
        </w:rPr>
        <w:t>gaspower.it</w:t>
      </w:r>
    </w:p>
    <w:p w14:paraId="05D1A177" w14:textId="77777777" w:rsidR="005D7BAD" w:rsidRDefault="005D7BAD" w:rsidP="00C44A94">
      <w:pPr>
        <w:spacing w:line="240" w:lineRule="auto"/>
        <w:contextualSpacing/>
        <w:mirrorIndents/>
        <w:jc w:val="both"/>
        <w:rPr>
          <w:rFonts w:ascii="PT Sans Narrow" w:hAnsi="PT Sans Narrow"/>
          <w:color w:val="BA1C58"/>
          <w:w w:val="80"/>
        </w:rPr>
      </w:pPr>
    </w:p>
    <w:p w14:paraId="255383D4" w14:textId="0E4EF31F" w:rsidR="00010026" w:rsidRPr="005D7BAD" w:rsidRDefault="00010026" w:rsidP="00C44A94">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Fatturazione</w:t>
      </w:r>
      <w:r w:rsidR="00E34440" w:rsidRPr="005D7BAD">
        <w:rPr>
          <w:rFonts w:ascii="PT Sans Narrow" w:hAnsi="PT Sans Narrow"/>
          <w:b/>
          <w:bCs/>
          <w:color w:val="00B0F0"/>
          <w:w w:val="80"/>
          <w:sz w:val="24"/>
          <w:szCs w:val="24"/>
        </w:rPr>
        <w:t>, pagamenti e garanzie</w:t>
      </w:r>
    </w:p>
    <w:p w14:paraId="5F805747" w14:textId="60C05C7A" w:rsidR="00E34440" w:rsidRPr="0022612C" w:rsidRDefault="00D07B9B" w:rsidP="000A2107">
      <w:pPr>
        <w:spacing w:line="240" w:lineRule="auto"/>
        <w:contextualSpacing/>
        <w:mirrorIndents/>
        <w:jc w:val="both"/>
        <w:rPr>
          <w:rFonts w:ascii="PT Sans Narrow" w:hAnsi="PT Sans Narrow"/>
        </w:rPr>
      </w:pPr>
      <w:r w:rsidRPr="0022612C">
        <w:rPr>
          <w:rFonts w:ascii="PT Sans Narrow" w:hAnsi="PT Sans Narrow"/>
        </w:rPr>
        <w:t>La fatturazione avrà periodicit</w:t>
      </w:r>
      <w:r w:rsidR="00BC7EFF" w:rsidRPr="0022612C">
        <w:rPr>
          <w:rFonts w:ascii="PT Sans Narrow" w:hAnsi="PT Sans Narrow"/>
        </w:rPr>
        <w:t>à mensile.</w:t>
      </w:r>
    </w:p>
    <w:p w14:paraId="6227D312" w14:textId="0E3B5C29" w:rsidR="009B177A" w:rsidRPr="0022612C" w:rsidRDefault="009B177A" w:rsidP="000A2107">
      <w:pPr>
        <w:spacing w:line="240" w:lineRule="auto"/>
        <w:contextualSpacing/>
        <w:mirrorIndents/>
        <w:jc w:val="both"/>
        <w:rPr>
          <w:rFonts w:ascii="PT Sans Narrow" w:hAnsi="PT Sans Narrow"/>
        </w:rPr>
      </w:pPr>
      <w:r w:rsidRPr="0022612C">
        <w:rPr>
          <w:rFonts w:ascii="PT Sans Narrow" w:hAnsi="PT Sans Narrow"/>
        </w:rPr>
        <w:t>La spedizione fattura potrà essere effettuata in modalità online (a mezzo e-mail e/o tramite fattura elettronica) o in formato cartaceo.</w:t>
      </w:r>
    </w:p>
    <w:p w14:paraId="2BDB0EFF" w14:textId="6E802487" w:rsidR="008832DF" w:rsidRPr="0022612C" w:rsidRDefault="008832DF" w:rsidP="008832DF">
      <w:pPr>
        <w:spacing w:line="240" w:lineRule="auto"/>
        <w:contextualSpacing/>
        <w:mirrorIndents/>
        <w:jc w:val="both"/>
        <w:rPr>
          <w:rFonts w:ascii="PT Sans Narrow" w:hAnsi="PT Sans Narrow"/>
        </w:rPr>
      </w:pPr>
      <w:r w:rsidRPr="0022612C">
        <w:rPr>
          <w:rFonts w:ascii="PT Sans Narrow" w:hAnsi="PT Sans Narrow"/>
        </w:rPr>
        <w:t>Al Cliente che non richiede la fattura in formato cartaceo e che opti per una modalità di addebito automatico degli importi fatturati è applicato in fattura lo sconto definito dall’Autorità di Regolazione per Energia Reti e Ambiente (ARERA) con Delibera 555/2017/R/</w:t>
      </w:r>
      <w:proofErr w:type="spellStart"/>
      <w:r w:rsidRPr="0022612C">
        <w:rPr>
          <w:rFonts w:ascii="PT Sans Narrow" w:hAnsi="PT Sans Narrow"/>
        </w:rPr>
        <w:t>com</w:t>
      </w:r>
      <w:proofErr w:type="spellEnd"/>
      <w:r w:rsidRPr="0022612C">
        <w:rPr>
          <w:rFonts w:ascii="PT Sans Narrow" w:hAnsi="PT Sans Narrow"/>
        </w:rPr>
        <w:t xml:space="preserve">, </w:t>
      </w:r>
      <w:proofErr w:type="spellStart"/>
      <w:r w:rsidRPr="0022612C">
        <w:rPr>
          <w:rFonts w:ascii="PT Sans Narrow" w:hAnsi="PT Sans Narrow"/>
        </w:rPr>
        <w:t>All</w:t>
      </w:r>
      <w:proofErr w:type="spellEnd"/>
      <w:r w:rsidRPr="0022612C">
        <w:rPr>
          <w:rFonts w:ascii="PT Sans Narrow" w:hAnsi="PT Sans Narrow"/>
        </w:rPr>
        <w:t xml:space="preserve">. A, pari a </w:t>
      </w:r>
      <w:r w:rsidR="005648C6" w:rsidRPr="0022612C">
        <w:rPr>
          <w:rFonts w:ascii="PT Sans Narrow" w:hAnsi="PT Sans Narrow"/>
        </w:rPr>
        <w:t>5,40</w:t>
      </w:r>
      <w:r w:rsidRPr="0022612C">
        <w:rPr>
          <w:rFonts w:ascii="PT Sans Narrow" w:hAnsi="PT Sans Narrow"/>
        </w:rPr>
        <w:t xml:space="preserve"> €/PD</w:t>
      </w:r>
      <w:r w:rsidR="005616D9" w:rsidRPr="0022612C">
        <w:rPr>
          <w:rFonts w:ascii="PT Sans Narrow" w:hAnsi="PT Sans Narrow"/>
        </w:rPr>
        <w:t>R</w:t>
      </w:r>
      <w:r w:rsidRPr="0022612C">
        <w:rPr>
          <w:rFonts w:ascii="PT Sans Narrow" w:hAnsi="PT Sans Narrow"/>
        </w:rPr>
        <w:t>/anno.</w:t>
      </w:r>
    </w:p>
    <w:p w14:paraId="75390D78" w14:textId="14EE2D28" w:rsidR="00010026" w:rsidRPr="0022612C" w:rsidRDefault="003507EA" w:rsidP="000A2107">
      <w:pPr>
        <w:spacing w:line="240" w:lineRule="auto"/>
        <w:contextualSpacing/>
        <w:mirrorIndents/>
        <w:jc w:val="both"/>
        <w:rPr>
          <w:rFonts w:ascii="PT Sans Narrow" w:hAnsi="PT Sans Narrow"/>
        </w:rPr>
      </w:pPr>
      <w:r w:rsidRPr="0022612C">
        <w:rPr>
          <w:rFonts w:ascii="PT Sans Narrow" w:hAnsi="PT Sans Narrow"/>
        </w:rPr>
        <w:t>Il pagamento delle fatture dovrà essere effettuato entro 20 giorni dalla data di emissione</w:t>
      </w:r>
      <w:r w:rsidR="008247CA" w:rsidRPr="0022612C">
        <w:rPr>
          <w:rFonts w:ascii="PT Sans Narrow" w:hAnsi="PT Sans Narrow"/>
        </w:rPr>
        <w:t xml:space="preserve"> t</w:t>
      </w:r>
      <w:r w:rsidR="00D07B9B" w:rsidRPr="0022612C">
        <w:rPr>
          <w:rFonts w:ascii="PT Sans Narrow" w:hAnsi="PT Sans Narrow"/>
        </w:rPr>
        <w:t>ramite addebito diretto in conto corrente (SDD)</w:t>
      </w:r>
      <w:r w:rsidR="00E34440" w:rsidRPr="0022612C">
        <w:rPr>
          <w:rFonts w:ascii="PT Sans Narrow" w:hAnsi="PT Sans Narrow"/>
        </w:rPr>
        <w:t>.</w:t>
      </w:r>
    </w:p>
    <w:p w14:paraId="55D9F6E9" w14:textId="77777777" w:rsidR="00AF28FE" w:rsidRPr="0022612C" w:rsidRDefault="00AF28FE" w:rsidP="00AF28FE">
      <w:pPr>
        <w:spacing w:line="240" w:lineRule="auto"/>
        <w:contextualSpacing/>
        <w:mirrorIndents/>
        <w:jc w:val="both"/>
        <w:rPr>
          <w:rFonts w:ascii="PT Sans Narrow" w:hAnsi="PT Sans Narrow"/>
        </w:rPr>
      </w:pPr>
      <w:r w:rsidRPr="0022612C">
        <w:rPr>
          <w:rFonts w:ascii="PT Sans Narrow" w:hAnsi="PT Sans Narrow"/>
        </w:rPr>
        <w:t>La guida alla lettura della bolletta è disponibile sul sito del venditore nell’apposita sezione.</w:t>
      </w:r>
    </w:p>
    <w:p w14:paraId="43250E35" w14:textId="77777777" w:rsidR="00BA39B3" w:rsidRPr="0022612C" w:rsidRDefault="0072668E" w:rsidP="004F121E">
      <w:pPr>
        <w:spacing w:line="240" w:lineRule="auto"/>
        <w:contextualSpacing/>
        <w:mirrorIndents/>
        <w:jc w:val="both"/>
        <w:rPr>
          <w:rFonts w:ascii="PT Sans Narrow" w:hAnsi="PT Sans Narrow"/>
        </w:rPr>
      </w:pPr>
      <w:r w:rsidRPr="0022612C">
        <w:rPr>
          <w:rFonts w:ascii="PT Sans Narrow" w:hAnsi="PT Sans Narrow"/>
        </w:rPr>
        <w:t xml:space="preserve">È </w:t>
      </w:r>
      <w:r w:rsidR="00964C8E" w:rsidRPr="0022612C">
        <w:rPr>
          <w:rFonts w:ascii="PT Sans Narrow" w:hAnsi="PT Sans Narrow"/>
        </w:rPr>
        <w:t>richiesto il versamento</w:t>
      </w:r>
      <w:r w:rsidRPr="0022612C">
        <w:rPr>
          <w:rFonts w:ascii="PT Sans Narrow" w:hAnsi="PT Sans Narrow"/>
        </w:rPr>
        <w:t xml:space="preserve"> del deposito cauzionale</w:t>
      </w:r>
      <w:r w:rsidR="00BA39B3" w:rsidRPr="0022612C">
        <w:rPr>
          <w:rFonts w:ascii="PT Sans Narrow" w:hAnsi="PT Sans Narrow"/>
        </w:rPr>
        <w:t>.</w:t>
      </w: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7533"/>
        <w:gridCol w:w="2059"/>
      </w:tblGrid>
      <w:tr w:rsidR="00BA39B3" w:rsidRPr="0022612C" w14:paraId="05720B85" w14:textId="77777777" w:rsidTr="005D7BAD">
        <w:trPr>
          <w:trHeight w:val="213"/>
        </w:trPr>
        <w:tc>
          <w:tcPr>
            <w:tcW w:w="7763" w:type="dxa"/>
            <w:tcMar>
              <w:top w:w="0" w:type="dxa"/>
              <w:left w:w="108" w:type="dxa"/>
              <w:bottom w:w="0" w:type="dxa"/>
              <w:right w:w="108" w:type="dxa"/>
            </w:tcMar>
            <w:hideMark/>
          </w:tcPr>
          <w:p w14:paraId="31AC8825" w14:textId="77777777" w:rsidR="00BA39B3" w:rsidRPr="0022612C" w:rsidRDefault="00BA39B3">
            <w:pPr>
              <w:spacing w:line="240" w:lineRule="auto"/>
              <w:mirrorIndents/>
              <w:jc w:val="both"/>
              <w:rPr>
                <w:rFonts w:ascii="PT Sans Narrow" w:hAnsi="PT Sans Narrow" w:cstheme="minorHAnsi"/>
              </w:rPr>
            </w:pPr>
            <w:r w:rsidRPr="0022612C">
              <w:rPr>
                <w:rFonts w:ascii="PT Sans Narrow" w:hAnsi="PT Sans Narrow" w:cstheme="minorHAnsi"/>
              </w:rPr>
              <w:t>Consumo annuo</w:t>
            </w:r>
          </w:p>
        </w:tc>
        <w:tc>
          <w:tcPr>
            <w:tcW w:w="2091" w:type="dxa"/>
            <w:tcMar>
              <w:top w:w="0" w:type="dxa"/>
              <w:left w:w="108" w:type="dxa"/>
              <w:bottom w:w="0" w:type="dxa"/>
              <w:right w:w="108" w:type="dxa"/>
            </w:tcMar>
            <w:hideMark/>
          </w:tcPr>
          <w:p w14:paraId="42EFD2AD" w14:textId="77777777" w:rsidR="00BA39B3" w:rsidRPr="0022612C" w:rsidRDefault="00BA39B3">
            <w:pPr>
              <w:spacing w:after="0" w:line="240" w:lineRule="auto"/>
              <w:ind w:right="-36"/>
              <w:contextualSpacing/>
              <w:mirrorIndents/>
              <w:rPr>
                <w:rFonts w:ascii="PT Sans Narrow" w:hAnsi="PT Sans Narrow" w:cstheme="minorHAnsi"/>
              </w:rPr>
            </w:pPr>
            <w:r w:rsidRPr="0022612C">
              <w:rPr>
                <w:rFonts w:ascii="PT Sans Narrow" w:hAnsi="PT Sans Narrow" w:cstheme="minorHAnsi"/>
              </w:rPr>
              <w:t>Deposito cauzionale</w:t>
            </w:r>
          </w:p>
        </w:tc>
      </w:tr>
      <w:tr w:rsidR="00BA39B3" w:rsidRPr="0022612C" w14:paraId="2BEF710D" w14:textId="77777777" w:rsidTr="005D7BAD">
        <w:trPr>
          <w:trHeight w:val="283"/>
        </w:trPr>
        <w:tc>
          <w:tcPr>
            <w:tcW w:w="7763" w:type="dxa"/>
            <w:tcMar>
              <w:top w:w="0" w:type="dxa"/>
              <w:left w:w="108" w:type="dxa"/>
              <w:bottom w:w="0" w:type="dxa"/>
              <w:right w:w="108" w:type="dxa"/>
            </w:tcMar>
            <w:vAlign w:val="bottom"/>
            <w:hideMark/>
          </w:tcPr>
          <w:p w14:paraId="0330AA89"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7D0B0C9A"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€ 25,00</w:t>
            </w:r>
          </w:p>
        </w:tc>
      </w:tr>
      <w:tr w:rsidR="00BA39B3" w:rsidRPr="0022612C" w14:paraId="5ECEDB35" w14:textId="77777777" w:rsidTr="005D7BAD">
        <w:trPr>
          <w:trHeight w:val="42"/>
        </w:trPr>
        <w:tc>
          <w:tcPr>
            <w:tcW w:w="7763" w:type="dxa"/>
            <w:tcMar>
              <w:top w:w="0" w:type="dxa"/>
              <w:left w:w="108" w:type="dxa"/>
              <w:bottom w:w="0" w:type="dxa"/>
              <w:right w:w="108" w:type="dxa"/>
            </w:tcMar>
            <w:vAlign w:val="bottom"/>
            <w:hideMark/>
          </w:tcPr>
          <w:p w14:paraId="1BD0C8EE"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Fino a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p>
        </w:tc>
        <w:tc>
          <w:tcPr>
            <w:tcW w:w="2091" w:type="dxa"/>
            <w:tcMar>
              <w:top w:w="0" w:type="dxa"/>
              <w:left w:w="108" w:type="dxa"/>
              <w:bottom w:w="0" w:type="dxa"/>
              <w:right w:w="108" w:type="dxa"/>
            </w:tcMar>
            <w:hideMark/>
          </w:tcPr>
          <w:p w14:paraId="33B917B2"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€ 77,00</w:t>
            </w:r>
          </w:p>
        </w:tc>
      </w:tr>
      <w:tr w:rsidR="00BA39B3" w:rsidRPr="0022612C" w14:paraId="24AD1A17" w14:textId="77777777" w:rsidTr="005D7BAD">
        <w:trPr>
          <w:trHeight w:val="198"/>
        </w:trPr>
        <w:tc>
          <w:tcPr>
            <w:tcW w:w="7763" w:type="dxa"/>
            <w:tcMar>
              <w:top w:w="0" w:type="dxa"/>
              <w:left w:w="108" w:type="dxa"/>
              <w:bottom w:w="0" w:type="dxa"/>
              <w:right w:w="108" w:type="dxa"/>
            </w:tcMar>
            <w:vAlign w:val="bottom"/>
            <w:hideMark/>
          </w:tcPr>
          <w:p w14:paraId="40BC6E66" w14:textId="77777777" w:rsidR="00BA39B3" w:rsidRPr="0022612C" w:rsidRDefault="00BA39B3">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&gt; 5000 </w:t>
            </w:r>
            <w:proofErr w:type="spellStart"/>
            <w:r w:rsidRPr="0022612C">
              <w:rPr>
                <w:rFonts w:ascii="PT Sans Narrow" w:hAnsi="PT Sans Narrow" w:cstheme="minorHAnsi"/>
              </w:rPr>
              <w:t>smc</w:t>
            </w:r>
            <w:proofErr w:type="spellEnd"/>
            <w:r w:rsidRPr="0022612C">
              <w:rPr>
                <w:rFonts w:ascii="PT Sans Narrow" w:hAnsi="PT Sans Narrow" w:cstheme="minorHAnsi"/>
              </w:rPr>
              <w:t>/anno</w:t>
            </w:r>
            <w:r w:rsidRPr="0022612C">
              <w:rPr>
                <w:rFonts w:ascii="PT Sans Narrow" w:hAnsi="PT Sans Narrow" w:cstheme="minorHAnsi"/>
              </w:rPr>
              <w:tab/>
            </w:r>
          </w:p>
        </w:tc>
        <w:tc>
          <w:tcPr>
            <w:tcW w:w="2091" w:type="dxa"/>
            <w:tcMar>
              <w:top w:w="0" w:type="dxa"/>
              <w:left w:w="108" w:type="dxa"/>
              <w:bottom w:w="0" w:type="dxa"/>
              <w:right w:w="108" w:type="dxa"/>
            </w:tcMar>
            <w:hideMark/>
          </w:tcPr>
          <w:p w14:paraId="17E41959" w14:textId="77777777" w:rsidR="00BA39B3" w:rsidRPr="0022612C" w:rsidRDefault="00BA39B3">
            <w:pPr>
              <w:spacing w:line="240" w:lineRule="auto"/>
              <w:contextualSpacing/>
              <w:mirrorIndents/>
              <w:jc w:val="center"/>
              <w:rPr>
                <w:rFonts w:ascii="PT Sans Narrow" w:hAnsi="PT Sans Narrow" w:cstheme="minorHAnsi"/>
              </w:rPr>
            </w:pPr>
            <w:r w:rsidRPr="0022612C">
              <w:rPr>
                <w:rFonts w:ascii="PT Sans Narrow" w:hAnsi="PT Sans Narrow" w:cstheme="minorHAnsi"/>
              </w:rPr>
              <w:t>Valore Annuo Previsionale (consumo annuo * 0,06)</w:t>
            </w:r>
          </w:p>
        </w:tc>
      </w:tr>
    </w:tbl>
    <w:p w14:paraId="71B004C0" w14:textId="77777777" w:rsidR="005D7BAD" w:rsidRDefault="005D7BAD" w:rsidP="008832DF">
      <w:pPr>
        <w:spacing w:line="240" w:lineRule="auto"/>
        <w:contextualSpacing/>
        <w:mirrorIndents/>
        <w:jc w:val="both"/>
        <w:rPr>
          <w:rFonts w:ascii="PT Sans Narrow" w:hAnsi="PT Sans Narrow"/>
          <w:color w:val="BA1C58"/>
          <w:w w:val="80"/>
        </w:rPr>
      </w:pPr>
    </w:p>
    <w:p w14:paraId="3184027C" w14:textId="562C045B" w:rsidR="00C01F7A" w:rsidRPr="005D7BAD" w:rsidRDefault="002D7514"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Durata offerta</w:t>
      </w:r>
    </w:p>
    <w:p w14:paraId="1216AC43" w14:textId="77777777" w:rsidR="00537B2B" w:rsidRPr="0022612C" w:rsidRDefault="00537B2B" w:rsidP="000A2107">
      <w:pPr>
        <w:spacing w:line="240" w:lineRule="auto"/>
        <w:contextualSpacing/>
        <w:mirrorIndents/>
        <w:jc w:val="both"/>
        <w:rPr>
          <w:rFonts w:ascii="PT Sans Narrow" w:hAnsi="PT Sans Narrow"/>
        </w:rPr>
      </w:pPr>
      <w:bookmarkStart w:id="0" w:name="_Hlk125388528"/>
      <w:r w:rsidRPr="0022612C">
        <w:rPr>
          <w:rFonts w:ascii="PT Sans Narrow" w:hAnsi="PT Sans Narrow"/>
        </w:rPr>
        <w:t>I Corrispettivi unitari qui indicati sono validi per i primi dodici mesi di fornitura, al termine dei quali, le presenti Condizioni economiche si rinnoveranno automaticamente di volta in volta per analoga durata.</w:t>
      </w:r>
    </w:p>
    <w:p w14:paraId="0ADB51DF" w14:textId="1B84EE5D"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Con preavviso inviato tre mesi prima della scadenza della loro validità, considerando tale termine decorrente dal primo giorno del mese successivo a quello di ricevimento della comunicazione da parte del cliente</w:t>
      </w:r>
      <w:r w:rsidR="00DF5273" w:rsidRPr="0022612C">
        <w:rPr>
          <w:rFonts w:ascii="PT Sans Narrow" w:hAnsi="PT Sans Narrow"/>
        </w:rPr>
        <w:t xml:space="preserve"> il</w:t>
      </w:r>
      <w:r w:rsidRPr="0022612C">
        <w:rPr>
          <w:rFonts w:ascii="PT Sans Narrow" w:hAnsi="PT Sans Narrow"/>
        </w:rPr>
        <w:t xml:space="preserve"> </w:t>
      </w:r>
      <w:r w:rsidR="00DF5273" w:rsidRPr="0022612C">
        <w:rPr>
          <w:rFonts w:ascii="PT Sans Narrow" w:hAnsi="PT Sans Narrow"/>
        </w:rPr>
        <w:t xml:space="preserve">Fornitore </w:t>
      </w:r>
      <w:r w:rsidRPr="0022612C">
        <w:rPr>
          <w:rFonts w:ascii="PT Sans Narrow" w:hAnsi="PT Sans Narrow"/>
        </w:rPr>
        <w:t>comunicherà il prezzo di rinnovo che sarà pari al prezzo previsto dall’offerta PLACET a prezzo fisso applicabile al cliente e commercializzata nel momento in cui viene effettuata la comunicazione.</w:t>
      </w:r>
    </w:p>
    <w:p w14:paraId="1AE08F16" w14:textId="77777777" w:rsidR="00537B2B" w:rsidRPr="0022612C" w:rsidRDefault="00537B2B" w:rsidP="000A2107">
      <w:pPr>
        <w:spacing w:line="240" w:lineRule="auto"/>
        <w:contextualSpacing/>
        <w:mirrorIndents/>
        <w:jc w:val="both"/>
        <w:rPr>
          <w:rFonts w:ascii="PT Sans Narrow" w:hAnsi="PT Sans Narrow"/>
        </w:rPr>
      </w:pPr>
      <w:r w:rsidRPr="0022612C">
        <w:rPr>
          <w:rFonts w:ascii="PT Sans Narrow" w:hAnsi="PT Sans Narrow"/>
        </w:rPr>
        <w:t>La comunicazione non sarà trasmessa all’interno della fattura o congiuntamente a essa. Fatta salva prova contraria, la suddetta comunicazione si presume ricevuta trascorsi 10 (dieci) giorni dall’invio effettuato da parte del Fornitore.</w:t>
      </w:r>
    </w:p>
    <w:p w14:paraId="1DA4CE4B" w14:textId="08B336F5" w:rsidR="008832DF" w:rsidRDefault="00537B2B" w:rsidP="008832DF">
      <w:pPr>
        <w:spacing w:line="240" w:lineRule="auto"/>
        <w:contextualSpacing/>
        <w:mirrorIndents/>
        <w:jc w:val="both"/>
        <w:rPr>
          <w:rFonts w:ascii="PT Sans Narrow" w:hAnsi="PT Sans Narrow"/>
        </w:rPr>
      </w:pPr>
      <w:r w:rsidRPr="0022612C">
        <w:rPr>
          <w:rFonts w:ascii="PT Sans Narrow" w:hAnsi="PT Sans Narrow"/>
        </w:rPr>
        <w:t>In mancanza di tale comunicazione, si applica, per i 12 mesi successivi, il prezzo minore tra quello previsto dalle Condizioni economiche in scadenza e quello previsto dall’offerta PLACET applicabile al Cliente e commercializzata dal Fornitore alla data di scadenza delle precedenti Condizioni economiche.</w:t>
      </w:r>
    </w:p>
    <w:p w14:paraId="5E501C8F" w14:textId="77777777" w:rsidR="005D7BAD" w:rsidRPr="0022612C" w:rsidRDefault="005D7BAD" w:rsidP="008832DF">
      <w:pPr>
        <w:spacing w:line="240" w:lineRule="auto"/>
        <w:contextualSpacing/>
        <w:mirrorIndents/>
        <w:jc w:val="both"/>
        <w:rPr>
          <w:rFonts w:ascii="PT Sans Narrow" w:hAnsi="PT Sans Narrow"/>
        </w:rPr>
      </w:pPr>
    </w:p>
    <w:p w14:paraId="66628624" w14:textId="4DF72720" w:rsidR="007468F9" w:rsidRPr="005D7BAD" w:rsidRDefault="007468F9" w:rsidP="008832DF">
      <w:pPr>
        <w:spacing w:line="240" w:lineRule="auto"/>
        <w:contextualSpacing/>
        <w:mirrorIndents/>
        <w:jc w:val="both"/>
        <w:rPr>
          <w:rFonts w:ascii="PT Sans Narrow" w:hAnsi="PT Sans Narrow"/>
          <w:b/>
          <w:bCs/>
          <w:color w:val="00B0F0"/>
          <w:sz w:val="24"/>
          <w:szCs w:val="24"/>
        </w:rPr>
      </w:pPr>
      <w:r w:rsidRPr="005D7BAD">
        <w:rPr>
          <w:rFonts w:ascii="PT Sans Narrow" w:hAnsi="PT Sans Narrow"/>
          <w:b/>
          <w:bCs/>
          <w:color w:val="00B0F0"/>
          <w:w w:val="80"/>
          <w:sz w:val="24"/>
          <w:szCs w:val="24"/>
        </w:rPr>
        <w:t>Altre informazioni</w:t>
      </w:r>
    </w:p>
    <w:p w14:paraId="1E8B739A" w14:textId="54F84FFD" w:rsidR="005D7BAD" w:rsidRPr="00C56CFE"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Eventuali altre informazioni sulla presente offerta possono essere richieste tramite telefono al</w:t>
      </w:r>
      <w:r>
        <w:rPr>
          <w:rFonts w:ascii="PT Sans Narrow" w:hAnsi="PT Sans Narrow" w:cstheme="minorHAnsi"/>
        </w:rPr>
        <w:t xml:space="preserve"> numero verde </w:t>
      </w:r>
      <w:r w:rsidRPr="00AB6399">
        <w:rPr>
          <w:rFonts w:ascii="PT Sans Narrow" w:hAnsi="PT Sans Narrow" w:cstheme="minorHAnsi"/>
        </w:rPr>
        <w:t xml:space="preserve">800 </w:t>
      </w:r>
      <w:r w:rsidR="00106701">
        <w:rPr>
          <w:rFonts w:ascii="PT Sans Narrow" w:hAnsi="PT Sans Narrow" w:cstheme="minorHAnsi"/>
        </w:rPr>
        <w:t>294988</w:t>
      </w:r>
      <w:r w:rsidRPr="00AB6399">
        <w:rPr>
          <w:rFonts w:ascii="PT Sans Narrow" w:hAnsi="PT Sans Narrow" w:cstheme="minorHAnsi"/>
        </w:rPr>
        <w:t xml:space="preserve"> </w:t>
      </w:r>
      <w:r w:rsidRPr="00C56CFE">
        <w:rPr>
          <w:rFonts w:ascii="PT Sans Narrow" w:hAnsi="PT Sans Narrow" w:cstheme="minorHAnsi"/>
        </w:rPr>
        <w:t xml:space="preserve"> </w:t>
      </w:r>
      <w:r w:rsidRPr="00AB6399">
        <w:rPr>
          <w:rFonts w:ascii="PT Sans Narrow" w:hAnsi="PT Sans Narrow" w:cstheme="minorHAnsi"/>
        </w:rPr>
        <w:t xml:space="preserve">oppure per iscritto a </w:t>
      </w:r>
      <w:hyperlink r:id="rId6" w:history="1">
        <w:r w:rsidR="00597898" w:rsidRPr="00866184">
          <w:rPr>
            <w:rStyle w:val="Collegamentoipertestuale"/>
            <w:rFonts w:ascii="PT Sans Narrow" w:hAnsi="PT Sans Narrow" w:cstheme="minorHAnsi"/>
          </w:rPr>
          <w:t>info@skygaspower.it</w:t>
        </w:r>
      </w:hyperlink>
      <w:r w:rsidR="00597898">
        <w:rPr>
          <w:rFonts w:ascii="PT Sans Narrow" w:hAnsi="PT Sans Narrow" w:cstheme="minorHAnsi"/>
        </w:rPr>
        <w:t xml:space="preserve"> </w:t>
      </w:r>
      <w:r w:rsidRPr="00AB6399">
        <w:rPr>
          <w:rFonts w:ascii="PT Sans Narrow" w:hAnsi="PT Sans Narrow" w:cstheme="minorHAnsi"/>
        </w:rPr>
        <w:t xml:space="preserve">o via posta a </w:t>
      </w:r>
      <w:proofErr w:type="spellStart"/>
      <w:r w:rsidR="00597898">
        <w:rPr>
          <w:rFonts w:ascii="PT Sans Narrow" w:hAnsi="PT Sans Narrow" w:cstheme="minorHAnsi"/>
        </w:rPr>
        <w:t>Sky</w:t>
      </w:r>
      <w:proofErr w:type="spellEnd"/>
      <w:r w:rsidRPr="00AB6399">
        <w:rPr>
          <w:rFonts w:ascii="PT Sans Narrow" w:hAnsi="PT Sans Narrow" w:cstheme="minorHAnsi"/>
        </w:rPr>
        <w:t xml:space="preserve"> Gas &amp; Power </w:t>
      </w:r>
      <w:proofErr w:type="spellStart"/>
      <w:r w:rsidRPr="00AB6399">
        <w:rPr>
          <w:rFonts w:ascii="PT Sans Narrow" w:hAnsi="PT Sans Narrow" w:cstheme="minorHAnsi"/>
        </w:rPr>
        <w:t>Srl</w:t>
      </w:r>
      <w:proofErr w:type="spellEnd"/>
      <w:r w:rsidRPr="00AB6399">
        <w:rPr>
          <w:rFonts w:ascii="PT Sans Narrow" w:hAnsi="PT Sans Narrow" w:cstheme="minorHAnsi"/>
        </w:rPr>
        <w:t xml:space="preserve"> – Via Tirso 14 – 00198 Roma.</w:t>
      </w:r>
    </w:p>
    <w:p w14:paraId="66DE9024" w14:textId="55218522" w:rsidR="005D7BAD" w:rsidRDefault="005D7BAD" w:rsidP="005D7BAD">
      <w:pPr>
        <w:spacing w:after="0" w:line="240" w:lineRule="auto"/>
        <w:contextualSpacing/>
        <w:mirrorIndents/>
        <w:jc w:val="both"/>
        <w:rPr>
          <w:rFonts w:ascii="PT Sans Narrow" w:hAnsi="PT Sans Narrow" w:cstheme="minorHAnsi"/>
        </w:rPr>
      </w:pPr>
      <w:r w:rsidRPr="00C56CFE">
        <w:rPr>
          <w:rFonts w:ascii="PT Sans Narrow" w:hAnsi="PT Sans Narrow" w:cstheme="minorHAnsi"/>
        </w:rPr>
        <w:t xml:space="preserve">Per una stima annua personalizzata sulla base del Suo consumo effettivo può utilizzare il Portale Offerte </w:t>
      </w:r>
      <w:hyperlink r:id="rId7" w:history="1">
        <w:r w:rsidRPr="00C56CFE">
          <w:rPr>
            <w:rStyle w:val="Collegamentoipertestuale"/>
            <w:rFonts w:ascii="PT Sans Narrow" w:hAnsi="PT Sans Narrow" w:cstheme="minorHAnsi"/>
          </w:rPr>
          <w:t>www.ilportaleofferte.it</w:t>
        </w:r>
      </w:hyperlink>
      <w:r w:rsidRPr="00C56CFE">
        <w:rPr>
          <w:rFonts w:ascii="PT Sans Narrow" w:hAnsi="PT Sans Narrow" w:cstheme="minorHAnsi"/>
        </w:rPr>
        <w:t>.</w:t>
      </w:r>
    </w:p>
    <w:p w14:paraId="01FD5C98" w14:textId="6FD5F4A1" w:rsidR="00106701" w:rsidRDefault="00106701" w:rsidP="005D7BAD">
      <w:pPr>
        <w:spacing w:after="0" w:line="240" w:lineRule="auto"/>
        <w:contextualSpacing/>
        <w:mirrorIndents/>
        <w:jc w:val="both"/>
        <w:rPr>
          <w:rFonts w:ascii="PT Sans Narrow" w:hAnsi="PT Sans Narrow" w:cstheme="minorHAnsi"/>
        </w:rPr>
      </w:pPr>
    </w:p>
    <w:p w14:paraId="7E16B448" w14:textId="480F1F5F" w:rsidR="00106701" w:rsidRDefault="00106701" w:rsidP="005D7BAD">
      <w:pPr>
        <w:spacing w:after="0" w:line="240" w:lineRule="auto"/>
        <w:contextualSpacing/>
        <w:mirrorIndents/>
        <w:jc w:val="both"/>
        <w:rPr>
          <w:rFonts w:ascii="PT Sans Narrow" w:hAnsi="PT Sans Narrow" w:cstheme="minorHAnsi"/>
        </w:rPr>
      </w:pPr>
    </w:p>
    <w:p w14:paraId="07336B0A" w14:textId="77777777" w:rsidR="00106701" w:rsidRPr="00C56CFE" w:rsidRDefault="00106701" w:rsidP="005D7BAD">
      <w:pPr>
        <w:spacing w:after="0" w:line="240" w:lineRule="auto"/>
        <w:contextualSpacing/>
        <w:mirrorIndents/>
        <w:jc w:val="both"/>
        <w:rPr>
          <w:rFonts w:ascii="PT Sans Narrow" w:hAnsi="PT Sans Narrow" w:cstheme="minorHAnsi"/>
        </w:rPr>
      </w:pPr>
    </w:p>
    <w:p w14:paraId="54E46F24" w14:textId="77777777" w:rsidR="00046212" w:rsidRPr="0022612C" w:rsidRDefault="00046212" w:rsidP="00046212">
      <w:pPr>
        <w:spacing w:before="8"/>
        <w:contextualSpacing/>
        <w:mirrorIndents/>
        <w:jc w:val="both"/>
        <w:rPr>
          <w:rFonts w:ascii="PT Sans Narrow" w:eastAsia="Arial Narrow" w:hAnsi="PT Sans Narrow"/>
          <w:color w:val="5D7793"/>
          <w:w w:val="110"/>
        </w:rPr>
      </w:pPr>
    </w:p>
    <w:tbl>
      <w:tblPr>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CellMar>
          <w:left w:w="0" w:type="dxa"/>
          <w:right w:w="0" w:type="dxa"/>
        </w:tblCellMar>
        <w:tblLook w:val="04A0" w:firstRow="1" w:lastRow="0" w:firstColumn="1" w:lastColumn="0" w:noHBand="0" w:noVBand="1"/>
      </w:tblPr>
      <w:tblGrid>
        <w:gridCol w:w="8162"/>
        <w:gridCol w:w="1430"/>
      </w:tblGrid>
      <w:tr w:rsidR="00046212" w:rsidRPr="0022612C" w14:paraId="2746AE05" w14:textId="77777777" w:rsidTr="005D7BAD">
        <w:trPr>
          <w:trHeight w:val="464"/>
        </w:trPr>
        <w:tc>
          <w:tcPr>
            <w:tcW w:w="9057" w:type="dxa"/>
            <w:tcMar>
              <w:top w:w="0" w:type="dxa"/>
              <w:left w:w="108" w:type="dxa"/>
              <w:bottom w:w="0" w:type="dxa"/>
              <w:right w:w="108" w:type="dxa"/>
            </w:tcMar>
          </w:tcPr>
          <w:p w14:paraId="5A889823"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Incidenza % dei corrispettivi sulla spesa di un Cliente finale tipo*, al netto delle imposte</w:t>
            </w:r>
          </w:p>
          <w:p w14:paraId="45414B4F" w14:textId="7AE4D56C"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 Cliente </w:t>
            </w:r>
            <w:r w:rsidR="00B87183" w:rsidRPr="0022612C">
              <w:rPr>
                <w:rFonts w:ascii="PT Sans Narrow" w:hAnsi="PT Sans Narrow" w:cstheme="minorHAnsi"/>
              </w:rPr>
              <w:t>domestico</w:t>
            </w:r>
            <w:r w:rsidRPr="0022612C">
              <w:rPr>
                <w:rFonts w:ascii="PT Sans Narrow" w:hAnsi="PT Sans Narrow" w:cstheme="minorHAnsi"/>
              </w:rPr>
              <w:t xml:space="preserve"> consumo medio annuo di </w:t>
            </w:r>
            <w:r w:rsidR="00FD0024" w:rsidRPr="0022612C">
              <w:rPr>
                <w:rFonts w:ascii="PT Sans Narrow" w:hAnsi="PT Sans Narrow" w:cstheme="minorHAnsi"/>
              </w:rPr>
              <w:t>gas naturale</w:t>
            </w:r>
            <w:r w:rsidRPr="0022612C">
              <w:rPr>
                <w:rFonts w:ascii="PT Sans Narrow" w:hAnsi="PT Sans Narrow" w:cstheme="minorHAnsi"/>
              </w:rPr>
              <w:t xml:space="preserve"> pari a 1</w:t>
            </w:r>
            <w:r w:rsidR="000960E0" w:rsidRPr="0022612C">
              <w:rPr>
                <w:rFonts w:ascii="PT Sans Narrow" w:hAnsi="PT Sans Narrow" w:cstheme="minorHAnsi"/>
              </w:rPr>
              <w:t>.400</w:t>
            </w:r>
            <w:r w:rsidRPr="0022612C">
              <w:rPr>
                <w:rFonts w:ascii="PT Sans Narrow" w:hAnsi="PT Sans Narrow" w:cstheme="minorHAnsi"/>
              </w:rPr>
              <w:t xml:space="preserve"> </w:t>
            </w:r>
            <w:proofErr w:type="spellStart"/>
            <w:r w:rsidR="000D1A75" w:rsidRPr="0022612C">
              <w:rPr>
                <w:rFonts w:ascii="PT Sans Narrow" w:hAnsi="PT Sans Narrow" w:cstheme="minorHAnsi"/>
              </w:rPr>
              <w:t>Smc</w:t>
            </w:r>
            <w:proofErr w:type="spellEnd"/>
            <w:r w:rsidRPr="0022612C">
              <w:rPr>
                <w:rFonts w:ascii="PT Sans Narrow" w:hAnsi="PT Sans Narrow" w:cstheme="minorHAnsi"/>
              </w:rPr>
              <w:t xml:space="preserve">, </w:t>
            </w:r>
            <w:r w:rsidR="000D1A75" w:rsidRPr="0022612C">
              <w:rPr>
                <w:rFonts w:ascii="PT Sans Narrow" w:hAnsi="PT Sans Narrow" w:cstheme="minorHAnsi"/>
              </w:rPr>
              <w:t>ambito Centrale</w:t>
            </w:r>
          </w:p>
        </w:tc>
        <w:tc>
          <w:tcPr>
            <w:tcW w:w="1529" w:type="dxa"/>
            <w:tcMar>
              <w:top w:w="0" w:type="dxa"/>
              <w:left w:w="108" w:type="dxa"/>
              <w:bottom w:w="0" w:type="dxa"/>
              <w:right w:w="108" w:type="dxa"/>
            </w:tcMar>
          </w:tcPr>
          <w:p w14:paraId="74F2F24F" w14:textId="77777777" w:rsidR="00046212" w:rsidRPr="0022612C" w:rsidRDefault="00046212" w:rsidP="00046212">
            <w:pPr>
              <w:spacing w:line="240" w:lineRule="auto"/>
              <w:ind w:right="-36"/>
              <w:contextualSpacing/>
              <w:mirrorIndents/>
              <w:rPr>
                <w:rFonts w:ascii="PT Sans Narrow" w:hAnsi="PT Sans Narrow" w:cstheme="minorHAnsi"/>
              </w:rPr>
            </w:pPr>
          </w:p>
        </w:tc>
      </w:tr>
      <w:tr w:rsidR="00046212" w:rsidRPr="0022612C" w14:paraId="62CFEEE7" w14:textId="77777777" w:rsidTr="005D7BAD">
        <w:trPr>
          <w:trHeight w:val="283"/>
        </w:trPr>
        <w:tc>
          <w:tcPr>
            <w:tcW w:w="9057" w:type="dxa"/>
            <w:tcMar>
              <w:top w:w="0" w:type="dxa"/>
              <w:left w:w="108" w:type="dxa"/>
              <w:bottom w:w="0" w:type="dxa"/>
              <w:right w:w="108" w:type="dxa"/>
            </w:tcMar>
            <w:vAlign w:val="bottom"/>
            <w:hideMark/>
          </w:tcPr>
          <w:p w14:paraId="5D8ED041" w14:textId="7103EDF3"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 xml:space="preserve">Spesa per la materia </w:t>
            </w:r>
            <w:r w:rsidR="008E475C" w:rsidRPr="0022612C">
              <w:rPr>
                <w:rFonts w:ascii="PT Sans Narrow" w:hAnsi="PT Sans Narrow" w:cstheme="minorHAnsi"/>
              </w:rPr>
              <w:t>gas naturale</w:t>
            </w:r>
          </w:p>
        </w:tc>
        <w:tc>
          <w:tcPr>
            <w:tcW w:w="1529" w:type="dxa"/>
            <w:tcMar>
              <w:top w:w="0" w:type="dxa"/>
              <w:left w:w="108" w:type="dxa"/>
              <w:bottom w:w="0" w:type="dxa"/>
              <w:right w:w="108" w:type="dxa"/>
            </w:tcMar>
            <w:hideMark/>
          </w:tcPr>
          <w:p w14:paraId="4AD830AB"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76,04 %</w:t>
            </w:r>
          </w:p>
        </w:tc>
      </w:tr>
      <w:tr w:rsidR="00046212" w:rsidRPr="0022612C" w14:paraId="6A73AAC9" w14:textId="77777777" w:rsidTr="005D7BAD">
        <w:trPr>
          <w:trHeight w:val="42"/>
        </w:trPr>
        <w:tc>
          <w:tcPr>
            <w:tcW w:w="9057" w:type="dxa"/>
            <w:tcMar>
              <w:top w:w="0" w:type="dxa"/>
              <w:left w:w="108" w:type="dxa"/>
              <w:bottom w:w="0" w:type="dxa"/>
              <w:right w:w="108" w:type="dxa"/>
            </w:tcMar>
            <w:vAlign w:val="bottom"/>
            <w:hideMark/>
          </w:tcPr>
          <w:p w14:paraId="5E0D0B81"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il trasporto e gestione del contatore</w:t>
            </w:r>
          </w:p>
        </w:tc>
        <w:tc>
          <w:tcPr>
            <w:tcW w:w="1529" w:type="dxa"/>
            <w:tcMar>
              <w:top w:w="0" w:type="dxa"/>
              <w:left w:w="108" w:type="dxa"/>
              <w:bottom w:w="0" w:type="dxa"/>
              <w:right w:w="108" w:type="dxa"/>
            </w:tcMar>
            <w:hideMark/>
          </w:tcPr>
          <w:p w14:paraId="357F29CF"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8,85 %</w:t>
            </w:r>
          </w:p>
        </w:tc>
      </w:tr>
      <w:tr w:rsidR="00046212" w:rsidRPr="0022612C" w14:paraId="10604B77" w14:textId="77777777" w:rsidTr="005D7BAD">
        <w:trPr>
          <w:trHeight w:val="198"/>
        </w:trPr>
        <w:tc>
          <w:tcPr>
            <w:tcW w:w="9057" w:type="dxa"/>
            <w:tcMar>
              <w:top w:w="0" w:type="dxa"/>
              <w:left w:w="108" w:type="dxa"/>
              <w:bottom w:w="0" w:type="dxa"/>
              <w:right w:w="108" w:type="dxa"/>
            </w:tcMar>
            <w:vAlign w:val="bottom"/>
            <w:hideMark/>
          </w:tcPr>
          <w:p w14:paraId="726BD0E2" w14:textId="77777777" w:rsidR="00046212" w:rsidRPr="0022612C" w:rsidRDefault="00046212" w:rsidP="00046212">
            <w:pPr>
              <w:spacing w:line="240" w:lineRule="auto"/>
              <w:contextualSpacing/>
              <w:mirrorIndents/>
              <w:jc w:val="both"/>
              <w:rPr>
                <w:rFonts w:ascii="PT Sans Narrow" w:hAnsi="PT Sans Narrow" w:cstheme="minorHAnsi"/>
              </w:rPr>
            </w:pPr>
            <w:r w:rsidRPr="0022612C">
              <w:rPr>
                <w:rFonts w:ascii="PT Sans Narrow" w:hAnsi="PT Sans Narrow" w:cstheme="minorHAnsi"/>
              </w:rPr>
              <w:t>Spesa per oneri di sistema</w:t>
            </w:r>
          </w:p>
        </w:tc>
        <w:tc>
          <w:tcPr>
            <w:tcW w:w="1529" w:type="dxa"/>
            <w:tcMar>
              <w:top w:w="0" w:type="dxa"/>
              <w:left w:w="108" w:type="dxa"/>
              <w:bottom w:w="0" w:type="dxa"/>
              <w:right w:w="108" w:type="dxa"/>
            </w:tcMar>
            <w:hideMark/>
          </w:tcPr>
          <w:p w14:paraId="2D397593" w14:textId="77777777" w:rsidR="00046212" w:rsidRPr="0022612C" w:rsidRDefault="00046212" w:rsidP="00046212">
            <w:pPr>
              <w:spacing w:line="240" w:lineRule="auto"/>
              <w:contextualSpacing/>
              <w:mirrorIndents/>
              <w:jc w:val="center"/>
              <w:rPr>
                <w:rFonts w:ascii="PT Sans Narrow" w:hAnsi="PT Sans Narrow" w:cstheme="minorHAnsi"/>
              </w:rPr>
            </w:pPr>
            <w:r w:rsidRPr="0022612C">
              <w:rPr>
                <w:rFonts w:ascii="PT Sans Narrow" w:hAnsi="PT Sans Narrow" w:cstheme="minorHAnsi"/>
              </w:rPr>
              <w:t>15,11 %</w:t>
            </w:r>
          </w:p>
        </w:tc>
      </w:tr>
    </w:tbl>
    <w:p w14:paraId="2366131B" w14:textId="77777777" w:rsidR="00756C9C" w:rsidRPr="0022612C" w:rsidRDefault="00756C9C" w:rsidP="000A2107">
      <w:pPr>
        <w:spacing w:line="240" w:lineRule="auto"/>
        <w:contextualSpacing/>
        <w:mirrorIndents/>
        <w:jc w:val="both"/>
        <w:rPr>
          <w:rFonts w:ascii="PT Sans Narrow" w:hAnsi="PT Sans Narrow" w:cstheme="minorHAnsi"/>
        </w:rPr>
      </w:pPr>
    </w:p>
    <w:bookmarkEnd w:id="0"/>
    <w:p w14:paraId="48197F71" w14:textId="77777777" w:rsidR="005D7BAD" w:rsidRDefault="005D7BAD" w:rsidP="005D7BAD">
      <w:pPr>
        <w:spacing w:after="0" w:line="240" w:lineRule="auto"/>
        <w:contextualSpacing/>
        <w:mirrorIndents/>
        <w:rPr>
          <w:rFonts w:ascii="PT Sans Narrow" w:hAnsi="PT Sans Narrow" w:cstheme="minorHAnsi"/>
        </w:rPr>
      </w:pPr>
    </w:p>
    <w:p w14:paraId="153AE260" w14:textId="77777777" w:rsidR="005D7BAD" w:rsidRDefault="005D7BAD" w:rsidP="005D7BAD">
      <w:pPr>
        <w:spacing w:after="0" w:line="240" w:lineRule="auto"/>
        <w:contextualSpacing/>
        <w:mirrorIndents/>
        <w:rPr>
          <w:rFonts w:ascii="PT Sans Narrow" w:hAnsi="PT Sans Narrow" w:cstheme="minorHAnsi"/>
        </w:rPr>
      </w:pPr>
    </w:p>
    <w:p w14:paraId="0F0B4BED" w14:textId="77777777" w:rsidR="005D7BAD" w:rsidRDefault="005D7BAD" w:rsidP="005D7BAD">
      <w:pPr>
        <w:spacing w:after="0" w:line="240" w:lineRule="auto"/>
        <w:contextualSpacing/>
        <w:mirrorIndents/>
        <w:rPr>
          <w:rFonts w:ascii="PT Sans Narrow" w:hAnsi="PT Sans Narrow" w:cstheme="minorHAnsi"/>
        </w:rPr>
      </w:pPr>
    </w:p>
    <w:p w14:paraId="3F6C8EC7" w14:textId="77777777" w:rsidR="005D7BAD"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Allegato al contratto del o (</w:t>
      </w:r>
      <w:proofErr w:type="spellStart"/>
      <w:r w:rsidRPr="00C56CFE">
        <w:rPr>
          <w:rFonts w:ascii="PT Sans Narrow" w:hAnsi="PT Sans Narrow" w:cstheme="minorHAnsi"/>
        </w:rPr>
        <w:t>num</w:t>
      </w:r>
      <w:proofErr w:type="spellEnd"/>
      <w:r w:rsidRPr="00C56CFE">
        <w:rPr>
          <w:rFonts w:ascii="PT Sans Narrow" w:hAnsi="PT Sans Narrow" w:cstheme="minorHAnsi"/>
        </w:rPr>
        <w:t>….) _______________________</w:t>
      </w:r>
      <w:r>
        <w:rPr>
          <w:rFonts w:ascii="PT Sans Narrow" w:hAnsi="PT Sans Narrow" w:cstheme="minorHAnsi"/>
        </w:rPr>
        <w:t>______________________________________________________</w:t>
      </w:r>
    </w:p>
    <w:p w14:paraId="42AE2D4D" w14:textId="77777777" w:rsidR="005D7BAD" w:rsidRPr="00C56CFE" w:rsidRDefault="005D7BAD" w:rsidP="005D7BAD">
      <w:pPr>
        <w:spacing w:after="0" w:line="240" w:lineRule="auto"/>
        <w:contextualSpacing/>
        <w:mirrorIndents/>
        <w:rPr>
          <w:rFonts w:ascii="PT Sans Narrow" w:hAnsi="PT Sans Narrow" w:cstheme="minorHAnsi"/>
        </w:rPr>
      </w:pPr>
    </w:p>
    <w:p w14:paraId="2F0CC7FA" w14:textId="77777777" w:rsidR="005D7BAD" w:rsidRDefault="005D7BAD" w:rsidP="005D7BAD">
      <w:pPr>
        <w:spacing w:after="0" w:line="240" w:lineRule="auto"/>
        <w:contextualSpacing/>
        <w:mirrorIndents/>
        <w:rPr>
          <w:rFonts w:ascii="PT Sans Narrow" w:hAnsi="PT Sans Narrow" w:cstheme="minorHAnsi"/>
        </w:rPr>
      </w:pPr>
    </w:p>
    <w:p w14:paraId="186095F8" w14:textId="77777777" w:rsidR="005D7BAD" w:rsidRDefault="005D7BAD" w:rsidP="005D7BAD">
      <w:pPr>
        <w:spacing w:after="0" w:line="240" w:lineRule="auto"/>
        <w:contextualSpacing/>
        <w:mirrorIndents/>
        <w:rPr>
          <w:rFonts w:ascii="PT Sans Narrow" w:hAnsi="PT Sans Narrow" w:cstheme="minorHAnsi"/>
        </w:rPr>
      </w:pPr>
    </w:p>
    <w:p w14:paraId="4C65FDE5"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PD</w:t>
      </w:r>
      <w:r>
        <w:rPr>
          <w:rFonts w:ascii="PT Sans Narrow" w:hAnsi="PT Sans Narrow" w:cstheme="minorHAnsi"/>
        </w:rPr>
        <w:t>R</w:t>
      </w:r>
      <w:r w:rsidRPr="00C56CFE">
        <w:rPr>
          <w:rFonts w:ascii="PT Sans Narrow" w:hAnsi="PT Sans Narrow" w:cstheme="minorHAnsi"/>
        </w:rPr>
        <w:t xml:space="preserve"> __________________________________</w:t>
      </w:r>
      <w:r>
        <w:rPr>
          <w:rFonts w:ascii="PT Sans Narrow" w:hAnsi="PT Sans Narrow" w:cstheme="minorHAnsi"/>
        </w:rPr>
        <w:t>____________________________________________________________________</w:t>
      </w:r>
      <w:r w:rsidRPr="00C56CFE">
        <w:rPr>
          <w:rFonts w:ascii="PT Sans Narrow" w:hAnsi="PT Sans Narrow" w:cstheme="minorHAnsi"/>
        </w:rPr>
        <w:t>_______</w:t>
      </w:r>
    </w:p>
    <w:p w14:paraId="7FCA19DF"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 xml:space="preserve">(se fornitura </w:t>
      </w:r>
      <w:proofErr w:type="spellStart"/>
      <w:r w:rsidRPr="00C56CFE">
        <w:rPr>
          <w:rFonts w:ascii="PT Sans Narrow" w:hAnsi="PT Sans Narrow" w:cstheme="minorHAnsi"/>
        </w:rPr>
        <w:t>multisito</w:t>
      </w:r>
      <w:proofErr w:type="spellEnd"/>
      <w:r w:rsidRPr="00C56CFE">
        <w:rPr>
          <w:rFonts w:ascii="PT Sans Narrow" w:hAnsi="PT Sans Narrow" w:cstheme="minorHAnsi"/>
        </w:rPr>
        <w:t xml:space="preserve"> vedi allegato)</w:t>
      </w:r>
    </w:p>
    <w:p w14:paraId="074F7E7F" w14:textId="77777777" w:rsidR="005D7BAD" w:rsidRPr="00C56CFE" w:rsidRDefault="005D7BAD" w:rsidP="005D7BAD">
      <w:pPr>
        <w:spacing w:after="0" w:line="240" w:lineRule="auto"/>
        <w:contextualSpacing/>
        <w:mirrorIndents/>
        <w:jc w:val="both"/>
        <w:rPr>
          <w:rFonts w:ascii="PT Sans Narrow" w:hAnsi="PT Sans Narrow" w:cstheme="minorHAnsi"/>
        </w:rPr>
      </w:pPr>
    </w:p>
    <w:p w14:paraId="0FB472A1" w14:textId="77777777" w:rsidR="005D7BAD" w:rsidRPr="00C56CFE" w:rsidRDefault="005D7BAD" w:rsidP="005D7BAD">
      <w:pPr>
        <w:spacing w:after="0" w:line="240" w:lineRule="auto"/>
        <w:contextualSpacing/>
        <w:mirrorIndents/>
        <w:jc w:val="both"/>
        <w:rPr>
          <w:rFonts w:ascii="PT Sans Narrow" w:hAnsi="PT Sans Narrow" w:cstheme="minorHAnsi"/>
        </w:rPr>
      </w:pPr>
    </w:p>
    <w:p w14:paraId="189E4F93"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Cliente_________________________</w:t>
      </w:r>
      <w:r>
        <w:rPr>
          <w:rFonts w:ascii="PT Sans Narrow" w:hAnsi="PT Sans Narrow" w:cstheme="minorHAnsi"/>
        </w:rPr>
        <w:t>_________</w:t>
      </w:r>
      <w:r w:rsidRPr="00C56CFE">
        <w:rPr>
          <w:rFonts w:ascii="PT Sans Narrow" w:hAnsi="PT Sans Narrow" w:cstheme="minorHAnsi"/>
        </w:rPr>
        <w:t>____                        Codice Fiscale e/o P.IVA_____</w:t>
      </w:r>
      <w:r>
        <w:rPr>
          <w:rFonts w:ascii="PT Sans Narrow" w:hAnsi="PT Sans Narrow" w:cstheme="minorHAnsi"/>
        </w:rPr>
        <w:t>________________</w:t>
      </w:r>
      <w:r w:rsidRPr="00C56CFE">
        <w:rPr>
          <w:rFonts w:ascii="PT Sans Narrow" w:hAnsi="PT Sans Narrow" w:cstheme="minorHAnsi"/>
        </w:rPr>
        <w:t>________________________</w:t>
      </w:r>
    </w:p>
    <w:p w14:paraId="0C5F8004" w14:textId="77777777" w:rsidR="005D7BAD" w:rsidRPr="00C56CFE" w:rsidRDefault="005D7BAD" w:rsidP="005D7BAD">
      <w:pPr>
        <w:spacing w:after="0" w:line="240" w:lineRule="auto"/>
        <w:contextualSpacing/>
        <w:mirrorIndents/>
        <w:rPr>
          <w:rFonts w:ascii="PT Sans Narrow" w:hAnsi="PT Sans Narrow" w:cstheme="minorHAnsi"/>
        </w:rPr>
      </w:pPr>
    </w:p>
    <w:p w14:paraId="46BEC31D" w14:textId="77777777" w:rsidR="005D7BAD" w:rsidRPr="00C56CFE" w:rsidRDefault="005D7BAD" w:rsidP="005D7BAD">
      <w:pPr>
        <w:spacing w:after="0" w:line="240" w:lineRule="auto"/>
        <w:contextualSpacing/>
        <w:mirrorIndents/>
        <w:rPr>
          <w:rFonts w:ascii="PT Sans Narrow" w:hAnsi="PT Sans Narrow" w:cstheme="minorHAnsi"/>
        </w:rPr>
      </w:pPr>
    </w:p>
    <w:p w14:paraId="1F500914" w14:textId="77777777" w:rsidR="005D7BAD" w:rsidRPr="00C56CFE" w:rsidRDefault="005D7BAD" w:rsidP="005D7BAD">
      <w:pPr>
        <w:spacing w:after="0" w:line="240" w:lineRule="auto"/>
        <w:contextualSpacing/>
        <w:mirrorIndents/>
        <w:rPr>
          <w:rFonts w:ascii="PT Sans Narrow" w:hAnsi="PT Sans Narrow" w:cstheme="minorHAnsi"/>
        </w:rPr>
      </w:pPr>
    </w:p>
    <w:p w14:paraId="5C78FA10" w14:textId="77777777" w:rsidR="005D7BAD" w:rsidRPr="00C56CFE" w:rsidRDefault="005D7BAD" w:rsidP="005D7BAD">
      <w:pPr>
        <w:spacing w:after="0" w:line="240" w:lineRule="auto"/>
        <w:contextualSpacing/>
        <w:mirrorIndents/>
        <w:rPr>
          <w:rFonts w:ascii="PT Sans Narrow" w:hAnsi="PT Sans Narrow" w:cstheme="minorHAnsi"/>
        </w:rPr>
      </w:pPr>
      <w:r w:rsidRPr="00C56CFE">
        <w:rPr>
          <w:rFonts w:ascii="PT Sans Narrow" w:hAnsi="PT Sans Narrow" w:cstheme="minorHAnsi"/>
        </w:rPr>
        <w:t>Luogo e data______________</w:t>
      </w:r>
      <w:r>
        <w:rPr>
          <w:rFonts w:ascii="PT Sans Narrow" w:hAnsi="PT Sans Narrow" w:cstheme="minorHAnsi"/>
        </w:rPr>
        <w:t>______</w:t>
      </w:r>
      <w:r w:rsidRPr="00C56CFE">
        <w:rPr>
          <w:rFonts w:ascii="PT Sans Narrow" w:hAnsi="PT Sans Narrow" w:cstheme="minorHAnsi"/>
        </w:rPr>
        <w:t>____________</w:t>
      </w:r>
      <w:r w:rsidRPr="00C56CFE">
        <w:rPr>
          <w:rFonts w:ascii="PT Sans Narrow" w:hAnsi="PT Sans Narrow" w:cstheme="minorHAnsi"/>
        </w:rPr>
        <w:tab/>
        <w:t xml:space="preserve">                        Timbro e/o Firma _______</w:t>
      </w:r>
      <w:r>
        <w:rPr>
          <w:rFonts w:ascii="PT Sans Narrow" w:hAnsi="PT Sans Narrow" w:cstheme="minorHAnsi"/>
        </w:rPr>
        <w:t>_______________________</w:t>
      </w:r>
      <w:r w:rsidRPr="00C56CFE">
        <w:rPr>
          <w:rFonts w:ascii="PT Sans Narrow" w:hAnsi="PT Sans Narrow" w:cstheme="minorHAnsi"/>
        </w:rPr>
        <w:t>___________________</w:t>
      </w:r>
    </w:p>
    <w:p w14:paraId="5AAE2EA2" w14:textId="77777777" w:rsidR="00181EBB" w:rsidRPr="0022612C" w:rsidRDefault="00181EBB" w:rsidP="000A2107">
      <w:pPr>
        <w:spacing w:line="240" w:lineRule="auto"/>
        <w:contextualSpacing/>
        <w:mirrorIndents/>
        <w:rPr>
          <w:rFonts w:ascii="PT Sans Narrow" w:hAnsi="PT Sans Narrow" w:cstheme="minorHAnsi"/>
        </w:rPr>
      </w:pPr>
    </w:p>
    <w:p w14:paraId="1AB9AC55" w14:textId="77777777" w:rsidR="00181EBB" w:rsidRPr="0022612C" w:rsidRDefault="00181EBB" w:rsidP="000A2107">
      <w:pPr>
        <w:spacing w:line="240" w:lineRule="auto"/>
        <w:contextualSpacing/>
        <w:mirrorIndents/>
        <w:rPr>
          <w:rFonts w:ascii="PT Sans Narrow" w:hAnsi="PT Sans Narrow" w:cstheme="minorHAnsi"/>
        </w:rPr>
      </w:pPr>
    </w:p>
    <w:p w14:paraId="2006965A" w14:textId="77777777" w:rsidR="00181EBB" w:rsidRPr="0022612C" w:rsidRDefault="00181EBB" w:rsidP="000A2107">
      <w:pPr>
        <w:spacing w:line="240" w:lineRule="auto"/>
        <w:contextualSpacing/>
        <w:mirrorIndents/>
        <w:rPr>
          <w:rFonts w:ascii="PT Sans Narrow" w:hAnsi="PT Sans Narrow" w:cstheme="minorHAnsi"/>
        </w:rPr>
      </w:pPr>
    </w:p>
    <w:p w14:paraId="430DDABE" w14:textId="77777777" w:rsidR="00181EBB" w:rsidRPr="0022612C" w:rsidRDefault="00181EBB" w:rsidP="000A2107">
      <w:pPr>
        <w:spacing w:line="240" w:lineRule="auto"/>
        <w:contextualSpacing/>
        <w:mirrorIndents/>
        <w:rPr>
          <w:rFonts w:ascii="PT Sans Narrow" w:hAnsi="PT Sans Narrow" w:cstheme="minorHAnsi"/>
        </w:rPr>
      </w:pPr>
    </w:p>
    <w:p w14:paraId="20A4EA2B" w14:textId="77777777" w:rsidR="00181EBB" w:rsidRPr="0022612C" w:rsidRDefault="00181EBB" w:rsidP="000A2107">
      <w:pPr>
        <w:spacing w:line="240" w:lineRule="auto"/>
        <w:contextualSpacing/>
        <w:mirrorIndents/>
        <w:rPr>
          <w:rFonts w:ascii="PT Sans Narrow" w:hAnsi="PT Sans Narrow" w:cstheme="minorHAnsi"/>
        </w:rPr>
      </w:pPr>
    </w:p>
    <w:p w14:paraId="4195722F" w14:textId="77777777" w:rsidR="00181EBB" w:rsidRPr="0022612C" w:rsidRDefault="00181EBB" w:rsidP="000A2107">
      <w:pPr>
        <w:spacing w:line="240" w:lineRule="auto"/>
        <w:contextualSpacing/>
        <w:mirrorIndents/>
        <w:rPr>
          <w:rFonts w:ascii="PT Sans Narrow" w:hAnsi="PT Sans Narrow" w:cstheme="minorHAnsi"/>
        </w:rPr>
      </w:pPr>
    </w:p>
    <w:p w14:paraId="46FBB618" w14:textId="77777777" w:rsidR="00181EBB" w:rsidRPr="0022612C" w:rsidRDefault="00181EBB" w:rsidP="000A2107">
      <w:pPr>
        <w:spacing w:line="240" w:lineRule="auto"/>
        <w:contextualSpacing/>
        <w:mirrorIndents/>
        <w:rPr>
          <w:rFonts w:ascii="PT Sans Narrow" w:hAnsi="PT Sans Narrow" w:cstheme="minorHAnsi"/>
        </w:rPr>
      </w:pPr>
    </w:p>
    <w:p w14:paraId="3B1BDA3A" w14:textId="77777777" w:rsidR="00181EBB" w:rsidRPr="0022612C" w:rsidRDefault="00181EBB" w:rsidP="000A2107">
      <w:pPr>
        <w:spacing w:line="240" w:lineRule="auto"/>
        <w:contextualSpacing/>
        <w:mirrorIndents/>
        <w:rPr>
          <w:rFonts w:ascii="PT Sans Narrow" w:hAnsi="PT Sans Narrow" w:cstheme="minorHAnsi"/>
        </w:rPr>
      </w:pPr>
    </w:p>
    <w:p w14:paraId="422415C4" w14:textId="77777777" w:rsidR="00181EBB" w:rsidRPr="0022612C" w:rsidRDefault="00181EBB" w:rsidP="000A2107">
      <w:pPr>
        <w:spacing w:line="240" w:lineRule="auto"/>
        <w:contextualSpacing/>
        <w:mirrorIndents/>
        <w:rPr>
          <w:rFonts w:ascii="PT Sans Narrow" w:hAnsi="PT Sans Narrow" w:cstheme="minorHAnsi"/>
        </w:rPr>
      </w:pPr>
    </w:p>
    <w:p w14:paraId="60E86FEA" w14:textId="77777777" w:rsidR="00181EBB" w:rsidRPr="00F20DE5" w:rsidRDefault="00181EBB" w:rsidP="000A2107">
      <w:pPr>
        <w:spacing w:line="240" w:lineRule="auto"/>
        <w:contextualSpacing/>
        <w:mirrorIndents/>
        <w:rPr>
          <w:rFonts w:cstheme="minorHAnsi"/>
          <w:sz w:val="20"/>
          <w:szCs w:val="20"/>
        </w:rPr>
      </w:pPr>
    </w:p>
    <w:sectPr w:rsidR="00181EBB" w:rsidRPr="00F20DE5" w:rsidSect="0022612C">
      <w:headerReference w:type="default" r:id="rId8"/>
      <w:footerReference w:type="default" r:id="rId9"/>
      <w:pgSz w:w="11906" w:h="16838"/>
      <w:pgMar w:top="1816" w:right="1134" w:bottom="191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4E9A" w14:textId="77777777" w:rsidR="00F53355" w:rsidRDefault="00F53355" w:rsidP="00650E36">
      <w:pPr>
        <w:spacing w:after="0" w:line="240" w:lineRule="auto"/>
      </w:pPr>
      <w:r>
        <w:separator/>
      </w:r>
    </w:p>
  </w:endnote>
  <w:endnote w:type="continuationSeparator" w:id="0">
    <w:p w14:paraId="6F028A04" w14:textId="77777777" w:rsidR="00F53355" w:rsidRDefault="00F53355" w:rsidP="006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PT Sans Narrow">
    <w:altName w:val="PT Sans Narrow"/>
    <w:panose1 w:val="020B0506020203020204"/>
    <w:charset w:val="00"/>
    <w:family w:val="swiss"/>
    <w:pitch w:val="variable"/>
    <w:sig w:usb0="A00002EF" w:usb1="5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4BE0" w14:textId="5D94C43A" w:rsidR="0022612C" w:rsidRDefault="00597898">
    <w:pPr>
      <w:pStyle w:val="Pidipagina"/>
    </w:pPr>
    <w:r>
      <w:rPr>
        <w:noProof/>
      </w:rPr>
      <mc:AlternateContent>
        <mc:Choice Requires="wps">
          <w:drawing>
            <wp:anchor distT="0" distB="0" distL="114300" distR="114300" simplePos="0" relativeHeight="251660288" behindDoc="0" locked="0" layoutInCell="1" allowOverlap="1" wp14:anchorId="2F38C31B" wp14:editId="4B6B4C89">
              <wp:simplePos x="0" y="0"/>
              <wp:positionH relativeFrom="column">
                <wp:posOffset>3732607</wp:posOffset>
              </wp:positionH>
              <wp:positionV relativeFrom="paragraph">
                <wp:posOffset>-510765</wp:posOffset>
              </wp:positionV>
              <wp:extent cx="2398538" cy="621636"/>
              <wp:effectExtent l="0" t="0" r="1905" b="1270"/>
              <wp:wrapNone/>
              <wp:docPr id="10" name="Casella di testo 10"/>
              <wp:cNvGraphicFramePr/>
              <a:graphic xmlns:a="http://schemas.openxmlformats.org/drawingml/2006/main">
                <a:graphicData uri="http://schemas.microsoft.com/office/word/2010/wordprocessingShape">
                  <wps:wsp>
                    <wps:cNvSpPr txBox="1"/>
                    <wps:spPr>
                      <a:xfrm>
                        <a:off x="0" y="0"/>
                        <a:ext cx="2398538" cy="621636"/>
                      </a:xfrm>
                      <a:prstGeom prst="rect">
                        <a:avLst/>
                      </a:prstGeom>
                      <a:solidFill>
                        <a:schemeClr val="lt1"/>
                      </a:solidFill>
                      <a:ln w="6350">
                        <a:noFill/>
                      </a:ln>
                    </wps:spPr>
                    <wps:txb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1"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8C31B" id="_x0000_t202" coordsize="21600,21600" o:spt="202" path="m,l,21600r21600,l21600,xe">
              <v:stroke joinstyle="miter"/>
              <v:path gradientshapeok="t" o:connecttype="rect"/>
            </v:shapetype>
            <v:shape id="Casella di testo 10" o:spid="_x0000_s1026" type="#_x0000_t202" style="position:absolute;margin-left:293.9pt;margin-top:-40.2pt;width:188.85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" fillcolor="white [3201]" stroked="f" strokeweight=".5pt">
              <v:textbox>
                <w:txbxContent>
                  <w:p w14:paraId="6E3DFE24" w14:textId="77777777" w:rsidR="00597898" w:rsidRPr="008335B2" w:rsidRDefault="00597898" w:rsidP="00597898">
                    <w:pPr>
                      <w:pStyle w:val="Paragrafobase"/>
                      <w:spacing w:line="240" w:lineRule="auto"/>
                      <w:jc w:val="right"/>
                      <w:rPr>
                        <w:rFonts w:ascii="PT Sans Narrow" w:hAnsi="PT Sans Narrow" w:cs="PT Sans Narrow"/>
                        <w:color w:val="5BA2D0"/>
                        <w:sz w:val="14"/>
                        <w:szCs w:val="14"/>
                      </w:rPr>
                    </w:pPr>
                    <w:r>
                      <w:rPr>
                        <w:rFonts w:ascii="PT Sans Narrow" w:hAnsi="PT Sans Narrow" w:cs="PT Sans Narrow"/>
                        <w:color w:val="5BA2D0"/>
                        <w:sz w:val="14"/>
                        <w:szCs w:val="14"/>
                      </w:rPr>
                      <w:t xml:space="preserve">Numero Verde </w:t>
                    </w:r>
                    <w:r w:rsidRPr="00056AB3">
                      <w:rPr>
                        <w:rFonts w:ascii="PT Sans Narrow" w:hAnsi="PT Sans Narrow" w:cs="PT Sans Narrow"/>
                        <w:color w:val="5BA2D0"/>
                        <w:sz w:val="14"/>
                        <w:szCs w:val="14"/>
                      </w:rPr>
                      <w:t> </w:t>
                    </w:r>
                    <w:r w:rsidRPr="004853D9">
                      <w:rPr>
                        <w:rFonts w:ascii="PT Sans Narrow" w:hAnsi="PT Sans Narrow" w:cs="PT Sans Narrow"/>
                        <w:color w:val="5BA2D0"/>
                        <w:sz w:val="14"/>
                        <w:szCs w:val="14"/>
                      </w:rPr>
                      <w:t xml:space="preserve">800 294988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Fax </w:t>
                    </w:r>
                    <w:r w:rsidRPr="004853D9">
                      <w:rPr>
                        <w:rFonts w:ascii="PT Sans Narrow" w:hAnsi="PT Sans Narrow" w:cs="PT Sans Narrow"/>
                        <w:color w:val="5BA2D0"/>
                        <w:sz w:val="14"/>
                        <w:szCs w:val="14"/>
                      </w:rPr>
                      <w:t>0432 294345</w:t>
                    </w:r>
                    <w:r>
                      <w:rPr>
                        <w:rFonts w:ascii="PT Sans Narrow" w:hAnsi="PT Sans Narrow" w:cs="PT Sans Narrow"/>
                        <w:color w:val="5BA2D0"/>
                        <w:sz w:val="14"/>
                        <w:szCs w:val="14"/>
                      </w:rPr>
                      <w:br/>
                    </w:r>
                    <w:r w:rsidRPr="008335B2">
                      <w:rPr>
                        <w:rFonts w:ascii="PT Sans Narrow" w:hAnsi="PT Sans Narrow" w:cs="PT Sans Narrow"/>
                        <w:color w:val="5BA2D0"/>
                        <w:sz w:val="14"/>
                        <w:szCs w:val="14"/>
                      </w:rPr>
                      <w:t xml:space="preserve">Email: </w:t>
                    </w:r>
                    <w:hyperlink r:id="rId2" w:history="1">
                      <w:r w:rsidRPr="008F351C">
                        <w:rPr>
                          <w:rFonts w:ascii="PT Sans Narrow" w:hAnsi="PT Sans Narrow" w:cs="PT Sans Narrow"/>
                          <w:color w:val="5BA2D0"/>
                          <w:sz w:val="14"/>
                          <w:szCs w:val="14"/>
                        </w:rPr>
                        <w:t>info@skygaspower.com</w:t>
                      </w:r>
                    </w:hyperlink>
                    <w:r>
                      <w:rPr>
                        <w:rFonts w:ascii="PT Sans Narrow" w:hAnsi="PT Sans Narrow" w:cs="PT Sans Narrow"/>
                        <w:color w:val="5BA2D0"/>
                        <w:sz w:val="14"/>
                        <w:szCs w:val="14"/>
                      </w:rPr>
                      <w:t xml:space="preserve"> </w:t>
                    </w:r>
                    <w:r w:rsidRPr="008F351C">
                      <w:rPr>
                        <w:rFonts w:ascii="PT Sans Narrow" w:hAnsi="PT Sans Narrow" w:cs="PT Sans Narrow"/>
                        <w:color w:val="F9B233"/>
                        <w:sz w:val="14"/>
                        <w:szCs w:val="14"/>
                      </w:rPr>
                      <w:t xml:space="preserve">| </w:t>
                    </w:r>
                    <w:r w:rsidRPr="008335B2">
                      <w:rPr>
                        <w:rFonts w:ascii="PT Sans Narrow" w:hAnsi="PT Sans Narrow" w:cs="PT Sans Narrow"/>
                        <w:color w:val="5BA2D0"/>
                        <w:sz w:val="14"/>
                        <w:szCs w:val="14"/>
                      </w:rPr>
                      <w:t xml:space="preserve">PEC </w:t>
                    </w:r>
                    <w:r w:rsidRPr="008F351C">
                      <w:rPr>
                        <w:rFonts w:ascii="PT Sans Narrow" w:hAnsi="PT Sans Narrow" w:cs="PT Sans Narrow"/>
                        <w:color w:val="5BA2D0"/>
                        <w:sz w:val="14"/>
                        <w:szCs w:val="14"/>
                      </w:rPr>
                      <w:t>skygaspower@legalmail.it</w:t>
                    </w:r>
                  </w:p>
                  <w:p w14:paraId="5B4B9F11" w14:textId="77777777" w:rsidR="00597898" w:rsidRPr="00BC6F65" w:rsidRDefault="00597898" w:rsidP="00597898">
                    <w:pPr>
                      <w:pStyle w:val="Paragrafobase"/>
                      <w:spacing w:line="240" w:lineRule="auto"/>
                      <w:jc w:val="right"/>
                      <w:rPr>
                        <w:rFonts w:ascii="PT Sans Narrow" w:hAnsi="PT Sans Narrow" w:cs="PT Sans Narrow"/>
                        <w:color w:val="5BA2D0"/>
                        <w:sz w:val="14"/>
                        <w:szCs w:val="14"/>
                      </w:rPr>
                    </w:pPr>
                    <w:r w:rsidRPr="008F351C">
                      <w:rPr>
                        <w:rFonts w:ascii="PT Sans Narrow" w:hAnsi="PT Sans Narrow" w:cs="PT Sans Narrow"/>
                        <w:color w:val="5BA2D0"/>
                        <w:sz w:val="14"/>
                        <w:szCs w:val="14"/>
                        <w:lang w:eastAsia="it-IT"/>
                      </w:rPr>
                      <w:t>www.skygaspower.com</w:t>
                    </w:r>
                  </w:p>
                  <w:p w14:paraId="7F222FE8" w14:textId="77777777" w:rsidR="00597898" w:rsidRPr="00A6282A" w:rsidRDefault="00597898" w:rsidP="00597898">
                    <w:pPr>
                      <w:pStyle w:val="Paragrafobase"/>
                      <w:spacing w:line="240" w:lineRule="auto"/>
                      <w:jc w:val="right"/>
                      <w:rPr>
                        <w:rFonts w:ascii="PT Sans Narrow" w:hAnsi="PT Sans Narrow" w:cs="PT Sans Narrow"/>
                        <w:color w:val="5BA2D0"/>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17E221" wp14:editId="747C5619">
              <wp:simplePos x="0" y="0"/>
              <wp:positionH relativeFrom="column">
                <wp:posOffset>-94003</wp:posOffset>
              </wp:positionH>
              <wp:positionV relativeFrom="paragraph">
                <wp:posOffset>-546931</wp:posOffset>
              </wp:positionV>
              <wp:extent cx="2408555" cy="653415"/>
              <wp:effectExtent l="0" t="0" r="4445" b="0"/>
              <wp:wrapNone/>
              <wp:docPr id="9" name="Casella di testo 9"/>
              <wp:cNvGraphicFramePr/>
              <a:graphic xmlns:a="http://schemas.openxmlformats.org/drawingml/2006/main">
                <a:graphicData uri="http://schemas.microsoft.com/office/word/2010/wordprocessingShape">
                  <wps:wsp>
                    <wps:cNvSpPr txBox="1"/>
                    <wps:spPr>
                      <a:xfrm>
                        <a:off x="0" y="0"/>
                        <a:ext cx="2408555" cy="653415"/>
                      </a:xfrm>
                      <a:prstGeom prst="rect">
                        <a:avLst/>
                      </a:prstGeom>
                      <a:solidFill>
                        <a:schemeClr val="lt1"/>
                      </a:solidFill>
                      <a:ln w="6350">
                        <a:noFill/>
                      </a:ln>
                    </wps:spPr>
                    <wps:txb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7E221" id="Casella di testo 9" o:spid="_x0000_s1027" type="#_x0000_t202" style="position:absolute;margin-left:-7.4pt;margin-top:-43.05pt;width:189.6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" fillcolor="white [3201]" stroked="f" strokeweight=".5pt">
              <v:textbox>
                <w:txbxContent>
                  <w:p w14:paraId="1638CDFF" w14:textId="77777777" w:rsidR="00597898" w:rsidRDefault="00597898" w:rsidP="00597898">
                    <w:pPr>
                      <w:pStyle w:val="Pidipagina"/>
                      <w:rPr>
                        <w:rFonts w:ascii="PT Sans Narrow" w:hAnsi="PT Sans Narrow" w:cs="PT Sans Narrow"/>
                        <w:b/>
                        <w:bCs/>
                        <w:color w:val="5BA2D0"/>
                        <w:sz w:val="14"/>
                        <w:szCs w:val="14"/>
                      </w:rPr>
                    </w:pPr>
                    <w:r>
                      <w:rPr>
                        <w:rFonts w:ascii="PT Sans Narrow" w:hAnsi="PT Sans Narrow" w:cs="PT Sans Narrow"/>
                        <w:b/>
                        <w:bCs/>
                        <w:color w:val="5BA2D0"/>
                        <w:sz w:val="14"/>
                        <w:szCs w:val="14"/>
                      </w:rPr>
                      <w:t>SKY GAS &amp; POWER SRL</w:t>
                    </w:r>
                  </w:p>
                  <w:p w14:paraId="1C4377B8"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Sede legale Via Tirso, 14 - 00198 Roma (RM)</w:t>
                    </w:r>
                    <w:r>
                      <w:rPr>
                        <w:rFonts w:ascii="PT Sans Narrow" w:hAnsi="PT Sans Narrow" w:cs="PT Sans Narrow"/>
                        <w:color w:val="F9B233"/>
                        <w:sz w:val="14"/>
                        <w:szCs w:val="14"/>
                      </w:rPr>
                      <w:t xml:space="preserve"> </w:t>
                    </w:r>
                  </w:p>
                  <w:p w14:paraId="63549DA4" w14:textId="77777777" w:rsidR="00597898" w:rsidRDefault="00597898" w:rsidP="00597898">
                    <w:pPr>
                      <w:pStyle w:val="Pidipagina"/>
                      <w:rPr>
                        <w:rFonts w:ascii="PT Sans Narrow" w:hAnsi="PT Sans Narrow" w:cs="PT Sans Narrow"/>
                        <w:color w:val="F9B233"/>
                        <w:sz w:val="14"/>
                        <w:szCs w:val="14"/>
                      </w:rPr>
                    </w:pPr>
                    <w:r>
                      <w:rPr>
                        <w:rFonts w:ascii="PT Sans Narrow" w:hAnsi="PT Sans Narrow" w:cs="PT Sans Narrow"/>
                        <w:color w:val="5BA2D0"/>
                        <w:sz w:val="14"/>
                        <w:szCs w:val="14"/>
                      </w:rPr>
                      <w:t xml:space="preserve">Partita Iva </w:t>
                    </w:r>
                    <w:r w:rsidRPr="008F351C">
                      <w:rPr>
                        <w:rFonts w:ascii="PT Sans Narrow" w:hAnsi="PT Sans Narrow" w:cs="PT Sans Narrow"/>
                        <w:color w:val="5BA2D0"/>
                        <w:sz w:val="14"/>
                        <w:szCs w:val="14"/>
                      </w:rPr>
                      <w:t>12282921001</w:t>
                    </w:r>
                    <w:r>
                      <w:rPr>
                        <w:rFonts w:ascii="PT Sans Narrow" w:hAnsi="PT Sans Narrow" w:cs="PT Sans Narrow"/>
                        <w:color w:val="5BA2D0"/>
                        <w:sz w:val="14"/>
                        <w:szCs w:val="14"/>
                      </w:rPr>
                      <w:t xml:space="preserve"> </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R.E.A. di Roma N. </w:t>
                    </w:r>
                    <w:r w:rsidRPr="00414AD4">
                      <w:rPr>
                        <w:rFonts w:ascii="PT Sans Narrow" w:hAnsi="PT Sans Narrow" w:cs="PT Sans Narrow"/>
                        <w:color w:val="5BA2D0"/>
                        <w:sz w:val="14"/>
                        <w:szCs w:val="14"/>
                      </w:rPr>
                      <w:t> </w:t>
                    </w:r>
                    <w:r w:rsidRPr="008F351C">
                      <w:rPr>
                        <w:rFonts w:ascii="PT Sans Narrow" w:hAnsi="PT Sans Narrow" w:cs="PT Sans Narrow"/>
                        <w:color w:val="5BA2D0"/>
                        <w:sz w:val="14"/>
                        <w:szCs w:val="14"/>
                      </w:rPr>
                      <w:t>1362673</w:t>
                    </w:r>
                    <w:r>
                      <w:rPr>
                        <w:rFonts w:ascii="PT Sans Narrow" w:hAnsi="PT Sans Narrow" w:cs="PT Sans Narrow"/>
                        <w:color w:val="F9B233"/>
                        <w:sz w:val="14"/>
                        <w:szCs w:val="14"/>
                      </w:rPr>
                      <w:t xml:space="preserve"> </w:t>
                    </w:r>
                  </w:p>
                  <w:p w14:paraId="40308793" w14:textId="77777777" w:rsidR="00597898" w:rsidRPr="00956A26" w:rsidRDefault="00597898" w:rsidP="00597898">
                    <w:pPr>
                      <w:pStyle w:val="Pidipagina"/>
                      <w:rPr>
                        <w:rFonts w:ascii="PT Sans Narrow" w:hAnsi="PT Sans Narrow" w:cs="PT Sans Narrow"/>
                        <w:color w:val="5BA2D0"/>
                        <w:sz w:val="14"/>
                        <w:szCs w:val="14"/>
                      </w:rPr>
                    </w:pPr>
                    <w:r>
                      <w:rPr>
                        <w:rFonts w:ascii="PT Sans Narrow" w:hAnsi="PT Sans Narrow" w:cs="PT Sans Narrow"/>
                        <w:color w:val="5BA2D0"/>
                        <w:sz w:val="14"/>
                        <w:szCs w:val="14"/>
                      </w:rPr>
                      <w:t>Capitale Sociale di</w:t>
                    </w:r>
                    <w:r>
                      <w:rPr>
                        <w:rFonts w:ascii="PT Sans Narrow" w:hAnsi="PT Sans Narrow" w:cs="PT Sans Narrow"/>
                        <w:color w:val="F9B233"/>
                        <w:sz w:val="14"/>
                        <w:szCs w:val="14"/>
                      </w:rPr>
                      <w:t xml:space="preserve"> </w:t>
                    </w:r>
                    <w:r>
                      <w:rPr>
                        <w:rFonts w:ascii="PT Sans Narrow" w:hAnsi="PT Sans Narrow" w:cs="PT Sans Narrow"/>
                        <w:color w:val="5BA2D0"/>
                        <w:sz w:val="14"/>
                        <w:szCs w:val="14"/>
                      </w:rPr>
                      <w:t xml:space="preserve">€ </w:t>
                    </w:r>
                    <w:r w:rsidRPr="008F351C">
                      <w:rPr>
                        <w:rFonts w:ascii="PT Sans Narrow" w:hAnsi="PT Sans Narrow" w:cs="PT Sans Narrow"/>
                        <w:color w:val="5BA2D0"/>
                        <w:sz w:val="14"/>
                        <w:szCs w:val="14"/>
                      </w:rPr>
                      <w:t>20.000,00</w:t>
                    </w:r>
                    <w:r>
                      <w:rPr>
                        <w:rFonts w:ascii="PT Sans Narrow" w:hAnsi="PT Sans Narrow" w:cs="PT Sans Narrow"/>
                        <w:color w:val="5BA2D0"/>
                        <w:sz w:val="14"/>
                        <w:szCs w:val="14"/>
                      </w:rPr>
                      <w:t xml:space="preserve"> </w:t>
                    </w:r>
                    <w:proofErr w:type="spellStart"/>
                    <w:r>
                      <w:rPr>
                        <w:rFonts w:ascii="PT Sans Narrow" w:hAnsi="PT Sans Narrow" w:cs="PT Sans Narrow"/>
                        <w:color w:val="5BA2D0"/>
                        <w:sz w:val="14"/>
                        <w:szCs w:val="14"/>
                      </w:rPr>
                      <w:t>i.v</w:t>
                    </w:r>
                    <w:proofErr w:type="spellEnd"/>
                    <w:r>
                      <w:rPr>
                        <w:rFonts w:ascii="PT Sans Narrow" w:hAnsi="PT Sans Narrow" w:cs="PT Sans Narrow"/>
                        <w:color w:val="5BA2D0"/>
                        <w:sz w:val="14"/>
                        <w:szCs w:val="14"/>
                      </w:rPr>
                      <w:t>.</w:t>
                    </w:r>
                    <w:r>
                      <w:rPr>
                        <w:rFonts w:ascii="PT Sans Narrow" w:hAnsi="PT Sans Narrow" w:cs="PT Sans Narrow"/>
                        <w:color w:val="F9B233"/>
                        <w:sz w:val="14"/>
                        <w:szCs w:val="14"/>
                      </w:rPr>
                      <w:t xml:space="preserve">  </w:t>
                    </w:r>
                  </w:p>
                  <w:p w14:paraId="20CDFAEE" w14:textId="77777777" w:rsidR="00597898" w:rsidRPr="001D72CC" w:rsidRDefault="00597898" w:rsidP="00597898">
                    <w:pPr>
                      <w:rPr>
                        <w:lang w:val="x-no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1B89" w14:textId="77777777" w:rsidR="00F53355" w:rsidRDefault="00F53355" w:rsidP="00650E36">
      <w:pPr>
        <w:spacing w:after="0" w:line="240" w:lineRule="auto"/>
      </w:pPr>
      <w:r>
        <w:separator/>
      </w:r>
    </w:p>
  </w:footnote>
  <w:footnote w:type="continuationSeparator" w:id="0">
    <w:p w14:paraId="28DDBD31" w14:textId="77777777" w:rsidR="00F53355" w:rsidRDefault="00F53355" w:rsidP="0065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8FE" w14:textId="697BC9BF" w:rsidR="0022612C" w:rsidRPr="0022612C" w:rsidRDefault="00597898" w:rsidP="0022612C">
    <w:pPr>
      <w:pStyle w:val="Intestazione"/>
    </w:pPr>
    <w:r>
      <w:rPr>
        <w:noProof/>
      </w:rPr>
      <w:drawing>
        <wp:inline distT="0" distB="0" distL="0" distR="0" wp14:anchorId="4CF79D05" wp14:editId="524FB397">
          <wp:extent cx="1155700" cy="91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557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B3"/>
    <w:rsid w:val="00010026"/>
    <w:rsid w:val="00033210"/>
    <w:rsid w:val="00046212"/>
    <w:rsid w:val="0006190F"/>
    <w:rsid w:val="0006409C"/>
    <w:rsid w:val="00080A12"/>
    <w:rsid w:val="000960E0"/>
    <w:rsid w:val="000A2107"/>
    <w:rsid w:val="000A28FF"/>
    <w:rsid w:val="000D1A75"/>
    <w:rsid w:val="000D5EDF"/>
    <w:rsid w:val="000E0114"/>
    <w:rsid w:val="00101329"/>
    <w:rsid w:val="00106701"/>
    <w:rsid w:val="00116774"/>
    <w:rsid w:val="00134D20"/>
    <w:rsid w:val="0013573D"/>
    <w:rsid w:val="0016510D"/>
    <w:rsid w:val="00181EBB"/>
    <w:rsid w:val="001C148C"/>
    <w:rsid w:val="001C773E"/>
    <w:rsid w:val="002110D9"/>
    <w:rsid w:val="0022612C"/>
    <w:rsid w:val="00245651"/>
    <w:rsid w:val="00253BB4"/>
    <w:rsid w:val="002928D0"/>
    <w:rsid w:val="00296AFA"/>
    <w:rsid w:val="002C2BDA"/>
    <w:rsid w:val="002C50FE"/>
    <w:rsid w:val="002D7514"/>
    <w:rsid w:val="002E02F0"/>
    <w:rsid w:val="002E3407"/>
    <w:rsid w:val="003072A8"/>
    <w:rsid w:val="003343B7"/>
    <w:rsid w:val="003507EA"/>
    <w:rsid w:val="003534C5"/>
    <w:rsid w:val="00370F00"/>
    <w:rsid w:val="00383B9C"/>
    <w:rsid w:val="003A2C33"/>
    <w:rsid w:val="003F5495"/>
    <w:rsid w:val="003F639C"/>
    <w:rsid w:val="00405597"/>
    <w:rsid w:val="004135AC"/>
    <w:rsid w:val="00413910"/>
    <w:rsid w:val="00456AD5"/>
    <w:rsid w:val="00465873"/>
    <w:rsid w:val="004767FC"/>
    <w:rsid w:val="00484A9E"/>
    <w:rsid w:val="00486A6B"/>
    <w:rsid w:val="00493303"/>
    <w:rsid w:val="004A299A"/>
    <w:rsid w:val="004A3D01"/>
    <w:rsid w:val="004A663A"/>
    <w:rsid w:val="004C079A"/>
    <w:rsid w:val="004C0F5F"/>
    <w:rsid w:val="004C71C2"/>
    <w:rsid w:val="004F121E"/>
    <w:rsid w:val="005024F2"/>
    <w:rsid w:val="00510C92"/>
    <w:rsid w:val="00510D08"/>
    <w:rsid w:val="005203AD"/>
    <w:rsid w:val="00523E31"/>
    <w:rsid w:val="00537B2B"/>
    <w:rsid w:val="00542DDC"/>
    <w:rsid w:val="005439CA"/>
    <w:rsid w:val="005616D9"/>
    <w:rsid w:val="005648C6"/>
    <w:rsid w:val="0057107E"/>
    <w:rsid w:val="0057221B"/>
    <w:rsid w:val="005810F9"/>
    <w:rsid w:val="00597898"/>
    <w:rsid w:val="005A1AD0"/>
    <w:rsid w:val="005B528F"/>
    <w:rsid w:val="005D2985"/>
    <w:rsid w:val="005D7BAD"/>
    <w:rsid w:val="005F319A"/>
    <w:rsid w:val="005F7B71"/>
    <w:rsid w:val="006011B9"/>
    <w:rsid w:val="006459DD"/>
    <w:rsid w:val="00650E36"/>
    <w:rsid w:val="00671270"/>
    <w:rsid w:val="006921B8"/>
    <w:rsid w:val="006B143F"/>
    <w:rsid w:val="006B2F68"/>
    <w:rsid w:val="006D0D67"/>
    <w:rsid w:val="006D1A9E"/>
    <w:rsid w:val="00714AE3"/>
    <w:rsid w:val="00721AC0"/>
    <w:rsid w:val="0072668E"/>
    <w:rsid w:val="0074314A"/>
    <w:rsid w:val="007468F9"/>
    <w:rsid w:val="0075297A"/>
    <w:rsid w:val="007568A7"/>
    <w:rsid w:val="00756C9C"/>
    <w:rsid w:val="007642D8"/>
    <w:rsid w:val="00782773"/>
    <w:rsid w:val="00785149"/>
    <w:rsid w:val="007A71AC"/>
    <w:rsid w:val="007B60E8"/>
    <w:rsid w:val="007C351F"/>
    <w:rsid w:val="008026BD"/>
    <w:rsid w:val="00811346"/>
    <w:rsid w:val="008247CA"/>
    <w:rsid w:val="008256D0"/>
    <w:rsid w:val="0084236E"/>
    <w:rsid w:val="00861A1D"/>
    <w:rsid w:val="00876A9E"/>
    <w:rsid w:val="008832DF"/>
    <w:rsid w:val="008A38C0"/>
    <w:rsid w:val="008C4658"/>
    <w:rsid w:val="008D3458"/>
    <w:rsid w:val="008E3199"/>
    <w:rsid w:val="008E475C"/>
    <w:rsid w:val="00900526"/>
    <w:rsid w:val="00920744"/>
    <w:rsid w:val="00943516"/>
    <w:rsid w:val="00954C12"/>
    <w:rsid w:val="009614D8"/>
    <w:rsid w:val="00964C8E"/>
    <w:rsid w:val="009B177A"/>
    <w:rsid w:val="009D2CAE"/>
    <w:rsid w:val="00A42441"/>
    <w:rsid w:val="00A430EC"/>
    <w:rsid w:val="00A476B3"/>
    <w:rsid w:val="00A477FF"/>
    <w:rsid w:val="00A90616"/>
    <w:rsid w:val="00AA532D"/>
    <w:rsid w:val="00AB2BEF"/>
    <w:rsid w:val="00AF28FE"/>
    <w:rsid w:val="00AF32AD"/>
    <w:rsid w:val="00B30367"/>
    <w:rsid w:val="00B350A9"/>
    <w:rsid w:val="00B40BB1"/>
    <w:rsid w:val="00B47784"/>
    <w:rsid w:val="00B552B3"/>
    <w:rsid w:val="00B65DA0"/>
    <w:rsid w:val="00B67CFE"/>
    <w:rsid w:val="00B720E0"/>
    <w:rsid w:val="00B8135E"/>
    <w:rsid w:val="00B8695A"/>
    <w:rsid w:val="00B87183"/>
    <w:rsid w:val="00B97D4C"/>
    <w:rsid w:val="00BA39B3"/>
    <w:rsid w:val="00BC0BFA"/>
    <w:rsid w:val="00BC3000"/>
    <w:rsid w:val="00BC7EFF"/>
    <w:rsid w:val="00C01F7A"/>
    <w:rsid w:val="00C025CC"/>
    <w:rsid w:val="00C05922"/>
    <w:rsid w:val="00C06B90"/>
    <w:rsid w:val="00C40F36"/>
    <w:rsid w:val="00C4146A"/>
    <w:rsid w:val="00C44A94"/>
    <w:rsid w:val="00C726B5"/>
    <w:rsid w:val="00CA2337"/>
    <w:rsid w:val="00CA3FC4"/>
    <w:rsid w:val="00CB3650"/>
    <w:rsid w:val="00D07B9B"/>
    <w:rsid w:val="00D14C15"/>
    <w:rsid w:val="00D40888"/>
    <w:rsid w:val="00D426D9"/>
    <w:rsid w:val="00D442CB"/>
    <w:rsid w:val="00D7667F"/>
    <w:rsid w:val="00D94EE4"/>
    <w:rsid w:val="00DA5E8C"/>
    <w:rsid w:val="00DC0E15"/>
    <w:rsid w:val="00DF2953"/>
    <w:rsid w:val="00DF5273"/>
    <w:rsid w:val="00E030A5"/>
    <w:rsid w:val="00E12E1E"/>
    <w:rsid w:val="00E14F6C"/>
    <w:rsid w:val="00E263A1"/>
    <w:rsid w:val="00E34440"/>
    <w:rsid w:val="00EA3C87"/>
    <w:rsid w:val="00EA78EA"/>
    <w:rsid w:val="00EB7400"/>
    <w:rsid w:val="00EC223E"/>
    <w:rsid w:val="00EF0C47"/>
    <w:rsid w:val="00EF21FD"/>
    <w:rsid w:val="00F03380"/>
    <w:rsid w:val="00F17379"/>
    <w:rsid w:val="00F20DE5"/>
    <w:rsid w:val="00F216A4"/>
    <w:rsid w:val="00F27071"/>
    <w:rsid w:val="00F53355"/>
    <w:rsid w:val="00F6545D"/>
    <w:rsid w:val="00F705CE"/>
    <w:rsid w:val="00F711F2"/>
    <w:rsid w:val="00F86BB6"/>
    <w:rsid w:val="00F94138"/>
    <w:rsid w:val="00FD0024"/>
    <w:rsid w:val="00FD7397"/>
    <w:rsid w:val="00FE1C8E"/>
    <w:rsid w:val="00FE3473"/>
    <w:rsid w:val="00FF2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619D"/>
  <w15:docId w15:val="{A5B62CF1-87FA-44DC-B33D-90034C6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36"/>
  </w:style>
  <w:style w:type="paragraph" w:styleId="Pidipagina">
    <w:name w:val="footer"/>
    <w:basedOn w:val="Normale"/>
    <w:link w:val="PidipaginaCarattere"/>
    <w:uiPriority w:val="99"/>
    <w:unhideWhenUsed/>
    <w:rsid w:val="00650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E36"/>
  </w:style>
  <w:style w:type="paragraph" w:styleId="Titolo">
    <w:name w:val="Title"/>
    <w:basedOn w:val="Normale"/>
    <w:link w:val="TitoloCarattere"/>
    <w:uiPriority w:val="10"/>
    <w:qFormat/>
    <w:rsid w:val="007568A7"/>
    <w:pPr>
      <w:widowControl w:val="0"/>
      <w:autoSpaceDE w:val="0"/>
      <w:autoSpaceDN w:val="0"/>
      <w:spacing w:before="90" w:after="0" w:line="240" w:lineRule="auto"/>
      <w:ind w:left="3935" w:hanging="3680"/>
    </w:pPr>
    <w:rPr>
      <w:rFonts w:ascii="Calibri" w:eastAsia="Calibri" w:hAnsi="Calibri" w:cs="Calibri"/>
      <w:b/>
      <w:bCs/>
      <w:sz w:val="35"/>
      <w:szCs w:val="35"/>
      <w:lang w:val="en-US"/>
    </w:rPr>
  </w:style>
  <w:style w:type="character" w:customStyle="1" w:styleId="TitoloCarattere">
    <w:name w:val="Titolo Carattere"/>
    <w:basedOn w:val="Carpredefinitoparagrafo"/>
    <w:link w:val="Titolo"/>
    <w:uiPriority w:val="10"/>
    <w:rsid w:val="007568A7"/>
    <w:rPr>
      <w:rFonts w:ascii="Calibri" w:eastAsia="Calibri" w:hAnsi="Calibri" w:cs="Calibri"/>
      <w:b/>
      <w:bCs/>
      <w:sz w:val="35"/>
      <w:szCs w:val="35"/>
      <w:lang w:val="en-US"/>
    </w:rPr>
  </w:style>
  <w:style w:type="character" w:styleId="Collegamentoipertestuale">
    <w:name w:val="Hyperlink"/>
    <w:basedOn w:val="Carpredefinitoparagrafo"/>
    <w:uiPriority w:val="99"/>
    <w:unhideWhenUsed/>
    <w:rsid w:val="004767FC"/>
    <w:rPr>
      <w:color w:val="0563C1" w:themeColor="hyperlink"/>
      <w:u w:val="single"/>
    </w:rPr>
  </w:style>
  <w:style w:type="table" w:styleId="Grigliatabella">
    <w:name w:val="Table Grid"/>
    <w:basedOn w:val="Tabellanormale"/>
    <w:uiPriority w:val="59"/>
    <w:rsid w:val="0011677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30367"/>
    <w:rPr>
      <w:color w:val="605E5C"/>
      <w:shd w:val="clear" w:color="auto" w:fill="E1DFDD"/>
    </w:rPr>
  </w:style>
  <w:style w:type="paragraph" w:customStyle="1" w:styleId="Paragrafobase">
    <w:name w:val="[Paragrafo base]"/>
    <w:basedOn w:val="Normale"/>
    <w:uiPriority w:val="99"/>
    <w:rsid w:val="0022612C"/>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Menzionenonrisolta">
    <w:name w:val="Unresolved Mention"/>
    <w:basedOn w:val="Carpredefinitoparagrafo"/>
    <w:uiPriority w:val="99"/>
    <w:semiHidden/>
    <w:unhideWhenUsed/>
    <w:rsid w:val="0059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85589">
      <w:bodyDiv w:val="1"/>
      <w:marLeft w:val="0"/>
      <w:marRight w:val="0"/>
      <w:marTop w:val="0"/>
      <w:marBottom w:val="0"/>
      <w:divBdr>
        <w:top w:val="none" w:sz="0" w:space="0" w:color="auto"/>
        <w:left w:val="none" w:sz="0" w:space="0" w:color="auto"/>
        <w:bottom w:val="none" w:sz="0" w:space="0" w:color="auto"/>
        <w:right w:val="none" w:sz="0" w:space="0" w:color="auto"/>
      </w:divBdr>
    </w:div>
    <w:div w:id="997464814">
      <w:bodyDiv w:val="1"/>
      <w:marLeft w:val="0"/>
      <w:marRight w:val="0"/>
      <w:marTop w:val="0"/>
      <w:marBottom w:val="0"/>
      <w:divBdr>
        <w:top w:val="none" w:sz="0" w:space="0" w:color="auto"/>
        <w:left w:val="none" w:sz="0" w:space="0" w:color="auto"/>
        <w:bottom w:val="none" w:sz="0" w:space="0" w:color="auto"/>
        <w:right w:val="none" w:sz="0" w:space="0" w:color="auto"/>
      </w:divBdr>
    </w:div>
    <w:div w:id="1290748100">
      <w:bodyDiv w:val="1"/>
      <w:marLeft w:val="0"/>
      <w:marRight w:val="0"/>
      <w:marTop w:val="0"/>
      <w:marBottom w:val="0"/>
      <w:divBdr>
        <w:top w:val="none" w:sz="0" w:space="0" w:color="auto"/>
        <w:left w:val="none" w:sz="0" w:space="0" w:color="auto"/>
        <w:bottom w:val="none" w:sz="0" w:space="0" w:color="auto"/>
        <w:right w:val="none" w:sz="0" w:space="0" w:color="auto"/>
      </w:divBdr>
    </w:div>
    <w:div w:id="17157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portaleoffe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kygaspow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kygaspower.com" TargetMode="External"/><Relationship Id="rId1" Type="http://schemas.openxmlformats.org/officeDocument/2006/relationships/hyperlink" Target="mailto:info@skygas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dc:creator>
  <cp:lastModifiedBy>Microsoft Office User</cp:lastModifiedBy>
  <cp:revision>3</cp:revision>
  <cp:lastPrinted>2025-03-06T16:43:00Z</cp:lastPrinted>
  <dcterms:created xsi:type="dcterms:W3CDTF">2025-03-06T16:44:00Z</dcterms:created>
  <dcterms:modified xsi:type="dcterms:W3CDTF">2025-03-06T16:56:00Z</dcterms:modified>
</cp:coreProperties>
</file>